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BAD220" w14:textId="77777777" w:rsidR="00617538" w:rsidRPr="00B7187C" w:rsidRDefault="00617538" w:rsidP="00617538">
      <w:pPr>
        <w:pStyle w:val="Heading1a"/>
        <w:keepNext w:val="0"/>
        <w:keepLines w:val="0"/>
        <w:tabs>
          <w:tab w:val="clear" w:pos="-720"/>
        </w:tabs>
        <w:suppressAutoHyphens w:val="0"/>
        <w:rPr>
          <w:bCs/>
          <w:smallCaps w:val="0"/>
          <w:szCs w:val="32"/>
        </w:rPr>
      </w:pPr>
      <w:bookmarkStart w:id="0" w:name="_Hlk201913590"/>
      <w:r w:rsidRPr="00B7187C">
        <w:rPr>
          <w:bCs/>
          <w:smallCaps w:val="0"/>
          <w:sz w:val="40"/>
          <w:szCs w:val="40"/>
        </w:rPr>
        <w:t>Procurement Notice</w:t>
      </w:r>
    </w:p>
    <w:p w14:paraId="0A1BD9E3" w14:textId="77777777" w:rsidR="00617538" w:rsidRPr="00B7187C" w:rsidRDefault="00617538" w:rsidP="00617538">
      <w:pPr>
        <w:pStyle w:val="Heading1a"/>
        <w:keepNext w:val="0"/>
        <w:keepLines w:val="0"/>
        <w:tabs>
          <w:tab w:val="clear" w:pos="-720"/>
        </w:tabs>
        <w:suppressAutoHyphens w:val="0"/>
        <w:rPr>
          <w:bCs/>
          <w:smallCaps w:val="0"/>
          <w:sz w:val="28"/>
          <w:szCs w:val="28"/>
        </w:rPr>
      </w:pPr>
      <w:r w:rsidRPr="00B7187C">
        <w:rPr>
          <w:bCs/>
          <w:smallCaps w:val="0"/>
          <w:sz w:val="28"/>
          <w:szCs w:val="28"/>
        </w:rPr>
        <w:t>(Single-Stage, One-Envelope Bidding Process)</w:t>
      </w:r>
    </w:p>
    <w:p w14:paraId="69829F25" w14:textId="77777777" w:rsidR="00617538" w:rsidRPr="00B7187C" w:rsidRDefault="00617538" w:rsidP="00617538">
      <w:pPr>
        <w:pStyle w:val="Heading1a"/>
        <w:keepNext w:val="0"/>
        <w:keepLines w:val="0"/>
        <w:tabs>
          <w:tab w:val="clear" w:pos="-720"/>
        </w:tabs>
        <w:suppressAutoHyphens w:val="0"/>
        <w:rPr>
          <w:bCs/>
          <w:smallCaps w:val="0"/>
        </w:rPr>
      </w:pPr>
    </w:p>
    <w:p w14:paraId="53204BCC" w14:textId="77777777" w:rsidR="00617538" w:rsidRPr="00B7187C" w:rsidRDefault="00617538" w:rsidP="00617538">
      <w:pPr>
        <w:pStyle w:val="Heading1a"/>
        <w:keepNext w:val="0"/>
        <w:keepLines w:val="0"/>
        <w:tabs>
          <w:tab w:val="clear" w:pos="-720"/>
        </w:tabs>
        <w:suppressAutoHyphens w:val="0"/>
        <w:rPr>
          <w:smallCaps w:val="0"/>
          <w:szCs w:val="32"/>
        </w:rPr>
      </w:pPr>
      <w:r w:rsidRPr="00B7187C">
        <w:rPr>
          <w:smallCaps w:val="0"/>
          <w:szCs w:val="32"/>
        </w:rPr>
        <w:t>Request for Bids (RFB)</w:t>
      </w:r>
    </w:p>
    <w:p w14:paraId="1908A688" w14:textId="77777777" w:rsidR="00617538" w:rsidRPr="00B7187C" w:rsidRDefault="00617538" w:rsidP="00617538">
      <w:pPr>
        <w:jc w:val="center"/>
        <w:rPr>
          <w:b/>
        </w:rPr>
      </w:pPr>
      <w:r w:rsidRPr="00B7187C">
        <w:rPr>
          <w:b/>
        </w:rPr>
        <w:t>Small Works</w:t>
      </w:r>
    </w:p>
    <w:p w14:paraId="7BE96593" w14:textId="77777777" w:rsidR="00617538" w:rsidRPr="00B7187C" w:rsidRDefault="00617538" w:rsidP="00617538">
      <w:pPr>
        <w:pStyle w:val="ChapterNumber"/>
        <w:tabs>
          <w:tab w:val="clear" w:pos="-720"/>
        </w:tabs>
        <w:rPr>
          <w:rFonts w:ascii="Times New Roman" w:hAnsi="Times New Roman"/>
          <w:spacing w:val="-2"/>
        </w:rPr>
      </w:pPr>
    </w:p>
    <w:p w14:paraId="43EAC51E" w14:textId="77777777" w:rsidR="00617538" w:rsidRPr="00CD3497" w:rsidRDefault="00617538" w:rsidP="00617538">
      <w:pPr>
        <w:suppressAutoHyphens/>
        <w:rPr>
          <w:spacing w:val="-2"/>
          <w:sz w:val="22"/>
          <w:szCs w:val="22"/>
        </w:rPr>
      </w:pPr>
      <w:r w:rsidRPr="00CD3497">
        <w:rPr>
          <w:bCs/>
          <w:spacing w:val="-2"/>
          <w:sz w:val="22"/>
          <w:szCs w:val="22"/>
        </w:rPr>
        <w:t>Country:</w:t>
      </w:r>
      <w:r w:rsidRPr="00CD3497">
        <w:rPr>
          <w:sz w:val="22"/>
          <w:szCs w:val="22"/>
        </w:rPr>
        <w:t xml:space="preserve"> </w:t>
      </w:r>
      <w:r w:rsidRPr="00CD3497">
        <w:rPr>
          <w:b/>
          <w:bCs/>
          <w:sz w:val="22"/>
          <w:szCs w:val="22"/>
        </w:rPr>
        <w:t>Republic of Armenia</w:t>
      </w:r>
    </w:p>
    <w:p w14:paraId="2098EE89" w14:textId="77777777" w:rsidR="00617538" w:rsidRPr="00CD3497" w:rsidRDefault="00617538" w:rsidP="00617538">
      <w:pPr>
        <w:tabs>
          <w:tab w:val="left" w:pos="6660"/>
        </w:tabs>
        <w:suppressAutoHyphens/>
        <w:rPr>
          <w:sz w:val="22"/>
          <w:szCs w:val="22"/>
        </w:rPr>
      </w:pPr>
      <w:r w:rsidRPr="00CD3497">
        <w:rPr>
          <w:bCs/>
          <w:sz w:val="22"/>
          <w:szCs w:val="22"/>
        </w:rPr>
        <w:t>Name of Project:</w:t>
      </w:r>
      <w:r w:rsidRPr="00CD3497">
        <w:rPr>
          <w:spacing w:val="-2"/>
          <w:sz w:val="22"/>
          <w:szCs w:val="22"/>
        </w:rPr>
        <w:t xml:space="preserve"> </w:t>
      </w:r>
      <w:r w:rsidRPr="00CD3497">
        <w:rPr>
          <w:b/>
          <w:bCs/>
          <w:sz w:val="22"/>
          <w:szCs w:val="22"/>
        </w:rPr>
        <w:t>Yerevan Energy Efficiency Project II (YEEP-II)</w:t>
      </w:r>
    </w:p>
    <w:p w14:paraId="2603C10F" w14:textId="77777777" w:rsidR="00617538" w:rsidRPr="00CD3497" w:rsidRDefault="00617538" w:rsidP="00617538">
      <w:pPr>
        <w:suppressAutoHyphens/>
        <w:jc w:val="both"/>
        <w:rPr>
          <w:sz w:val="22"/>
          <w:szCs w:val="22"/>
        </w:rPr>
      </w:pPr>
      <w:r w:rsidRPr="00CD3497">
        <w:rPr>
          <w:bCs/>
          <w:sz w:val="22"/>
          <w:szCs w:val="22"/>
        </w:rPr>
        <w:t>Package Title:</w:t>
      </w:r>
      <w:r w:rsidRPr="00CD3497">
        <w:rPr>
          <w:sz w:val="22"/>
          <w:szCs w:val="22"/>
        </w:rPr>
        <w:t xml:space="preserve"> </w:t>
      </w:r>
      <w:r w:rsidRPr="00CD3497">
        <w:rPr>
          <w:b/>
          <w:bCs/>
          <w:sz w:val="22"/>
          <w:szCs w:val="22"/>
        </w:rPr>
        <w:t>“Seismic upgrades, energy efficiency improvements and reconstruction of Kindergartens Nos. 17, 39, 46, 72, 93, 133 &amp; 64” (comprising 7 Lots)</w:t>
      </w:r>
    </w:p>
    <w:p w14:paraId="79121445" w14:textId="77777777" w:rsidR="00617538" w:rsidRPr="00CD3497" w:rsidRDefault="00617538" w:rsidP="00617538">
      <w:pPr>
        <w:rPr>
          <w:b/>
          <w:bCs/>
          <w:color w:val="0000FF"/>
          <w:sz w:val="22"/>
          <w:szCs w:val="22"/>
        </w:rPr>
      </w:pPr>
      <w:r w:rsidRPr="00CD3497">
        <w:rPr>
          <w:bCs/>
          <w:sz w:val="22"/>
          <w:szCs w:val="22"/>
        </w:rPr>
        <w:t>Funding source:</w:t>
      </w:r>
      <w:r w:rsidRPr="00CD3497">
        <w:rPr>
          <w:color w:val="000000"/>
          <w:sz w:val="22"/>
          <w:szCs w:val="22"/>
        </w:rPr>
        <w:t xml:space="preserve"> </w:t>
      </w:r>
      <w:r w:rsidRPr="00CD3497">
        <w:rPr>
          <w:b/>
          <w:bCs/>
          <w:sz w:val="22"/>
          <w:szCs w:val="22"/>
        </w:rPr>
        <w:t xml:space="preserve">European Investment Bank (EIB) and </w:t>
      </w:r>
      <w:proofErr w:type="spellStart"/>
      <w:r w:rsidRPr="00CD3497">
        <w:rPr>
          <w:b/>
          <w:bCs/>
          <w:sz w:val="22"/>
          <w:szCs w:val="22"/>
        </w:rPr>
        <w:t>Neighbourhood</w:t>
      </w:r>
      <w:proofErr w:type="spellEnd"/>
      <w:r w:rsidRPr="00CD3497">
        <w:rPr>
          <w:b/>
          <w:bCs/>
          <w:sz w:val="22"/>
          <w:szCs w:val="22"/>
        </w:rPr>
        <w:t xml:space="preserve"> Investment Platform, a financing instrument of the European Union</w:t>
      </w:r>
    </w:p>
    <w:p w14:paraId="45A08145" w14:textId="77777777" w:rsidR="00617538" w:rsidRPr="00CD3497" w:rsidRDefault="00617538" w:rsidP="00617538">
      <w:pPr>
        <w:rPr>
          <w:b/>
          <w:bCs/>
          <w:color w:val="0000FF"/>
          <w:sz w:val="22"/>
          <w:szCs w:val="22"/>
        </w:rPr>
      </w:pPr>
      <w:r w:rsidRPr="00CD3497">
        <w:rPr>
          <w:b/>
          <w:sz w:val="22"/>
          <w:szCs w:val="22"/>
        </w:rPr>
        <w:t>EIB Loan No.:</w:t>
      </w:r>
      <w:r w:rsidRPr="00CD3497">
        <w:rPr>
          <w:i/>
          <w:sz w:val="22"/>
          <w:szCs w:val="22"/>
        </w:rPr>
        <w:t xml:space="preserve"> </w:t>
      </w:r>
      <w:r w:rsidRPr="00CD3497">
        <w:rPr>
          <w:b/>
          <w:bCs/>
          <w:sz w:val="22"/>
          <w:szCs w:val="22"/>
        </w:rPr>
        <w:t>90.016</w:t>
      </w:r>
    </w:p>
    <w:p w14:paraId="398C049D" w14:textId="77777777" w:rsidR="00617538" w:rsidRPr="00CD3497" w:rsidRDefault="00617538" w:rsidP="00617538">
      <w:pPr>
        <w:suppressAutoHyphens/>
        <w:rPr>
          <w:b/>
          <w:bCs/>
          <w:color w:val="0000FF"/>
          <w:sz w:val="22"/>
          <w:szCs w:val="22"/>
        </w:rPr>
      </w:pPr>
      <w:r w:rsidRPr="00CD3497">
        <w:rPr>
          <w:bCs/>
          <w:spacing w:val="-2"/>
          <w:sz w:val="22"/>
          <w:szCs w:val="22"/>
        </w:rPr>
        <w:t>RFB Reference No.:</w:t>
      </w:r>
      <w:r w:rsidRPr="00CD3497">
        <w:rPr>
          <w:spacing w:val="-2"/>
          <w:sz w:val="22"/>
          <w:szCs w:val="22"/>
        </w:rPr>
        <w:t xml:space="preserve"> </w:t>
      </w:r>
      <w:r w:rsidRPr="00CD3497">
        <w:rPr>
          <w:b/>
          <w:bCs/>
          <w:sz w:val="22"/>
          <w:szCs w:val="22"/>
        </w:rPr>
        <w:t>YEEP-II/ICB/CW-25/001</w:t>
      </w:r>
    </w:p>
    <w:p w14:paraId="4B99DEFD" w14:textId="77777777" w:rsidR="00617538" w:rsidRDefault="00617538" w:rsidP="00617538">
      <w:pPr>
        <w:suppressAutoHyphens/>
        <w:rPr>
          <w:spacing w:val="-2"/>
        </w:rPr>
      </w:pPr>
    </w:p>
    <w:p w14:paraId="690C7596" w14:textId="77777777" w:rsidR="00617538" w:rsidRPr="00CD3497" w:rsidRDefault="00617538" w:rsidP="00617538">
      <w:pPr>
        <w:jc w:val="both"/>
        <w:rPr>
          <w:spacing w:val="-2"/>
          <w:sz w:val="22"/>
          <w:szCs w:val="22"/>
        </w:rPr>
      </w:pPr>
      <w:r w:rsidRPr="00CD3497">
        <w:rPr>
          <w:sz w:val="22"/>
          <w:szCs w:val="22"/>
        </w:rPr>
        <w:t>This Request for Bids (RFB) follows the General Procurement Notice for this Project, which was published on</w:t>
      </w:r>
      <w:r w:rsidRPr="00CD3497">
        <w:rPr>
          <w:b/>
          <w:sz w:val="22"/>
          <w:szCs w:val="22"/>
        </w:rPr>
        <w:t xml:space="preserve"> May 5, 2023.</w:t>
      </w:r>
    </w:p>
    <w:p w14:paraId="1E07E7FE" w14:textId="77777777" w:rsidR="00617538" w:rsidRPr="00B7187C" w:rsidRDefault="00617538" w:rsidP="00617538">
      <w:pPr>
        <w:suppressAutoHyphens/>
        <w:rPr>
          <w:spacing w:val="-2"/>
        </w:rPr>
      </w:pPr>
    </w:p>
    <w:p w14:paraId="305BAF5A" w14:textId="77777777" w:rsidR="00617538" w:rsidRDefault="00617538" w:rsidP="00617538">
      <w:pPr>
        <w:pStyle w:val="ListParagraph"/>
        <w:numPr>
          <w:ilvl w:val="0"/>
          <w:numId w:val="1"/>
        </w:numPr>
        <w:suppressAutoHyphens/>
        <w:jc w:val="both"/>
        <w:rPr>
          <w:spacing w:val="-2"/>
          <w:sz w:val="22"/>
          <w:szCs w:val="22"/>
        </w:rPr>
      </w:pPr>
      <w:r w:rsidRPr="00B7187C">
        <w:rPr>
          <w:spacing w:val="-2"/>
          <w:sz w:val="22"/>
          <w:szCs w:val="22"/>
        </w:rPr>
        <w:t xml:space="preserve">The </w:t>
      </w:r>
      <w:r w:rsidRPr="00247DCB">
        <w:rPr>
          <w:b/>
          <w:bCs/>
          <w:sz w:val="22"/>
          <w:szCs w:val="22"/>
        </w:rPr>
        <w:t>Republic of Armenia</w:t>
      </w:r>
      <w:r w:rsidRPr="00B7187C">
        <w:rPr>
          <w:spacing w:val="-2"/>
          <w:sz w:val="22"/>
          <w:szCs w:val="22"/>
        </w:rPr>
        <w:t xml:space="preserve"> </w:t>
      </w:r>
      <w:r>
        <w:rPr>
          <w:spacing w:val="-2"/>
          <w:sz w:val="22"/>
          <w:szCs w:val="22"/>
        </w:rPr>
        <w:t>(</w:t>
      </w:r>
      <w:r w:rsidRPr="00F0459A">
        <w:t>“Borrower”</w:t>
      </w:r>
      <w:r>
        <w:rPr>
          <w:spacing w:val="-2"/>
          <w:sz w:val="22"/>
          <w:szCs w:val="22"/>
        </w:rPr>
        <w:t xml:space="preserve">) </w:t>
      </w:r>
      <w:r w:rsidRPr="00B7187C">
        <w:rPr>
          <w:spacing w:val="-2"/>
          <w:sz w:val="22"/>
          <w:szCs w:val="22"/>
        </w:rPr>
        <w:t>has received</w:t>
      </w:r>
      <w:r w:rsidRPr="00B7187C">
        <w:rPr>
          <w:i/>
          <w:spacing w:val="-2"/>
          <w:sz w:val="22"/>
          <w:szCs w:val="22"/>
        </w:rPr>
        <w:t xml:space="preserve"> </w:t>
      </w:r>
      <w:r w:rsidRPr="00B7187C">
        <w:rPr>
          <w:spacing w:val="-2"/>
          <w:sz w:val="22"/>
          <w:szCs w:val="22"/>
        </w:rPr>
        <w:t>financing from the</w:t>
      </w:r>
      <w:r>
        <w:rPr>
          <w:spacing w:val="-2"/>
          <w:sz w:val="22"/>
          <w:szCs w:val="22"/>
        </w:rPr>
        <w:t xml:space="preserve"> </w:t>
      </w:r>
      <w:r w:rsidRPr="00247DCB">
        <w:rPr>
          <w:b/>
          <w:i/>
          <w:noProof/>
        </w:rPr>
        <w:t xml:space="preserve">European Investment Bank </w:t>
      </w:r>
      <w:r w:rsidRPr="00247DCB">
        <w:rPr>
          <w:b/>
          <w:noProof/>
        </w:rPr>
        <w:t xml:space="preserve">(“EIB”) </w:t>
      </w:r>
      <w:r w:rsidRPr="00247DCB">
        <w:rPr>
          <w:b/>
          <w:i/>
          <w:noProof/>
        </w:rPr>
        <w:t>and Neighbourhood Investment Platform</w:t>
      </w:r>
      <w:r w:rsidRPr="00F3611F">
        <w:rPr>
          <w:i/>
          <w:noProof/>
        </w:rPr>
        <w:t xml:space="preserve"> </w:t>
      </w:r>
      <w:r w:rsidRPr="00F3611F">
        <w:rPr>
          <w:i/>
          <w:spacing w:val="-2"/>
        </w:rPr>
        <w:t>(a financing instrument of the European Union)</w:t>
      </w:r>
      <w:r w:rsidRPr="00D446F2">
        <w:rPr>
          <w:sz w:val="22"/>
          <w:lang w:val="en-GB" w:eastAsia="ru-RU"/>
        </w:rPr>
        <w:t xml:space="preserve"> toward the cost of the </w:t>
      </w:r>
      <w:r w:rsidRPr="00247DCB">
        <w:rPr>
          <w:b/>
          <w:noProof/>
        </w:rPr>
        <w:t>“Yerevan Energy Effeciency II Project”</w:t>
      </w:r>
      <w:r w:rsidRPr="00247DCB">
        <w:rPr>
          <w:b/>
          <w:sz w:val="22"/>
          <w:lang w:val="en-GB" w:eastAsia="ru-RU"/>
        </w:rPr>
        <w:t xml:space="preserve"> </w:t>
      </w:r>
      <w:r w:rsidRPr="00247DCB">
        <w:rPr>
          <w:b/>
          <w:noProof/>
        </w:rPr>
        <w:t>(YEEP-II)</w:t>
      </w:r>
      <w:r w:rsidRPr="00B7187C">
        <w:rPr>
          <w:spacing w:val="-2"/>
          <w:sz w:val="22"/>
          <w:szCs w:val="22"/>
        </w:rPr>
        <w:t>, and intends to apply part of the proceeds toward payments under the contract</w:t>
      </w:r>
      <w:r>
        <w:rPr>
          <w:spacing w:val="-2"/>
          <w:sz w:val="22"/>
          <w:szCs w:val="22"/>
        </w:rPr>
        <w:t>s</w:t>
      </w:r>
      <w:r w:rsidRPr="00B7187C">
        <w:rPr>
          <w:spacing w:val="-2"/>
          <w:sz w:val="22"/>
          <w:szCs w:val="22"/>
        </w:rPr>
        <w:t xml:space="preserve"> for</w:t>
      </w:r>
      <w:r>
        <w:rPr>
          <w:spacing w:val="-2"/>
          <w:sz w:val="22"/>
          <w:szCs w:val="22"/>
        </w:rPr>
        <w:t>:</w:t>
      </w:r>
    </w:p>
    <w:p w14:paraId="4862CC63" w14:textId="77777777" w:rsidR="00617538" w:rsidRDefault="00617538" w:rsidP="00617538">
      <w:pPr>
        <w:pStyle w:val="ListParagraph"/>
        <w:suppressAutoHyphens/>
        <w:ind w:left="360"/>
        <w:jc w:val="both"/>
        <w:rPr>
          <w:spacing w:val="-2"/>
          <w:sz w:val="22"/>
          <w:szCs w:val="22"/>
        </w:rPr>
      </w:pPr>
    </w:p>
    <w:tbl>
      <w:tblPr>
        <w:tblW w:w="0" w:type="auto"/>
        <w:tblInd w:w="-72" w:type="dxa"/>
        <w:tblLook w:val="04A0" w:firstRow="1" w:lastRow="0" w:firstColumn="1" w:lastColumn="0" w:noHBand="0" w:noVBand="1"/>
      </w:tblPr>
      <w:tblGrid>
        <w:gridCol w:w="828"/>
        <w:gridCol w:w="8082"/>
      </w:tblGrid>
      <w:tr w:rsidR="00617538" w:rsidRPr="00A121A1" w14:paraId="6B83F466" w14:textId="77777777" w:rsidTr="002A671A">
        <w:tc>
          <w:tcPr>
            <w:tcW w:w="828" w:type="dxa"/>
          </w:tcPr>
          <w:p w14:paraId="1147D0C1" w14:textId="77777777" w:rsidR="00617538" w:rsidRPr="00A121A1" w:rsidRDefault="00617538" w:rsidP="002A671A">
            <w:pPr>
              <w:pStyle w:val="ListParagraph"/>
              <w:suppressAutoHyphens/>
              <w:ind w:left="0"/>
              <w:rPr>
                <w:spacing w:val="-2"/>
                <w:sz w:val="22"/>
                <w:szCs w:val="22"/>
              </w:rPr>
            </w:pPr>
            <w:r w:rsidRPr="00A121A1">
              <w:rPr>
                <w:b/>
                <w:sz w:val="22"/>
                <w:szCs w:val="22"/>
              </w:rPr>
              <w:t>Lot 1:</w:t>
            </w:r>
          </w:p>
        </w:tc>
        <w:tc>
          <w:tcPr>
            <w:tcW w:w="8082" w:type="dxa"/>
          </w:tcPr>
          <w:p w14:paraId="0B2026FA" w14:textId="77777777" w:rsidR="00617538" w:rsidRPr="00A121A1" w:rsidRDefault="00617538" w:rsidP="002A671A">
            <w:pPr>
              <w:pStyle w:val="ListParagraph"/>
              <w:suppressAutoHyphens/>
              <w:ind w:left="0"/>
              <w:jc w:val="both"/>
              <w:rPr>
                <w:spacing w:val="-2"/>
                <w:sz w:val="22"/>
                <w:szCs w:val="22"/>
              </w:rPr>
            </w:pPr>
            <w:r w:rsidRPr="00A121A1">
              <w:rPr>
                <w:b/>
                <w:sz w:val="22"/>
                <w:szCs w:val="22"/>
              </w:rPr>
              <w:t xml:space="preserve">“Seismic upgrades, energy efficiency improvements and reconstruction of </w:t>
            </w:r>
            <w:r w:rsidRPr="00A121A1">
              <w:rPr>
                <w:b/>
                <w:bCs/>
              </w:rPr>
              <w:t>Kindergarten No.</w:t>
            </w:r>
            <w:r w:rsidRPr="00A121A1">
              <w:rPr>
                <w:b/>
                <w:sz w:val="22"/>
                <w:szCs w:val="22"/>
              </w:rPr>
              <w:t>17”</w:t>
            </w:r>
            <w:r w:rsidRPr="00A121A1">
              <w:rPr>
                <w:b/>
                <w:sz w:val="22"/>
              </w:rPr>
              <w:t xml:space="preserve"> (</w:t>
            </w:r>
            <w:proofErr w:type="spellStart"/>
            <w:r w:rsidRPr="00A121A1">
              <w:rPr>
                <w:b/>
                <w:sz w:val="22"/>
              </w:rPr>
              <w:t>Ref#YEEP-II</w:t>
            </w:r>
            <w:proofErr w:type="spellEnd"/>
            <w:r w:rsidRPr="00A121A1">
              <w:rPr>
                <w:b/>
                <w:sz w:val="22"/>
              </w:rPr>
              <w:t>/ICB/CW-25/001-1);</w:t>
            </w:r>
          </w:p>
        </w:tc>
      </w:tr>
      <w:tr w:rsidR="00617538" w:rsidRPr="00A121A1" w14:paraId="14E5EA49" w14:textId="77777777" w:rsidTr="002A671A">
        <w:tc>
          <w:tcPr>
            <w:tcW w:w="828" w:type="dxa"/>
          </w:tcPr>
          <w:p w14:paraId="4043D402" w14:textId="77777777" w:rsidR="00617538" w:rsidRPr="00A121A1" w:rsidRDefault="00617538" w:rsidP="002A671A">
            <w:r w:rsidRPr="00A121A1">
              <w:rPr>
                <w:b/>
                <w:sz w:val="22"/>
                <w:szCs w:val="22"/>
              </w:rPr>
              <w:t>Lot 2:</w:t>
            </w:r>
          </w:p>
        </w:tc>
        <w:tc>
          <w:tcPr>
            <w:tcW w:w="8082" w:type="dxa"/>
          </w:tcPr>
          <w:p w14:paraId="05291A63" w14:textId="77777777" w:rsidR="00617538" w:rsidRPr="00A121A1" w:rsidRDefault="00617538" w:rsidP="002A671A">
            <w:pPr>
              <w:pStyle w:val="ListParagraph"/>
              <w:suppressAutoHyphens/>
              <w:ind w:left="0"/>
              <w:jc w:val="both"/>
              <w:rPr>
                <w:spacing w:val="-2"/>
                <w:sz w:val="22"/>
                <w:szCs w:val="22"/>
              </w:rPr>
            </w:pPr>
            <w:r w:rsidRPr="00A121A1">
              <w:rPr>
                <w:b/>
                <w:sz w:val="22"/>
                <w:szCs w:val="22"/>
              </w:rPr>
              <w:t xml:space="preserve">“Seismic upgrades, energy efficiency improvements and reconstruction of </w:t>
            </w:r>
            <w:r w:rsidRPr="00A121A1">
              <w:rPr>
                <w:b/>
                <w:bCs/>
              </w:rPr>
              <w:t>Kindergarten No.</w:t>
            </w:r>
            <w:r w:rsidRPr="00A121A1">
              <w:rPr>
                <w:b/>
                <w:sz w:val="22"/>
                <w:szCs w:val="22"/>
              </w:rPr>
              <w:t xml:space="preserve">39” </w:t>
            </w:r>
            <w:r w:rsidRPr="00A121A1">
              <w:rPr>
                <w:b/>
                <w:sz w:val="22"/>
              </w:rPr>
              <w:t>(</w:t>
            </w:r>
            <w:proofErr w:type="spellStart"/>
            <w:r w:rsidRPr="00A121A1">
              <w:rPr>
                <w:b/>
                <w:sz w:val="22"/>
              </w:rPr>
              <w:t>Ref#YEEP-II</w:t>
            </w:r>
            <w:proofErr w:type="spellEnd"/>
            <w:r w:rsidRPr="00A121A1">
              <w:rPr>
                <w:b/>
                <w:sz w:val="22"/>
              </w:rPr>
              <w:t>/ICB/CW-25/001-2)</w:t>
            </w:r>
            <w:r w:rsidRPr="00A121A1">
              <w:rPr>
                <w:b/>
                <w:sz w:val="22"/>
                <w:szCs w:val="22"/>
              </w:rPr>
              <w:t>;</w:t>
            </w:r>
          </w:p>
        </w:tc>
      </w:tr>
      <w:tr w:rsidR="00617538" w:rsidRPr="00A121A1" w14:paraId="01FAAE61" w14:textId="77777777" w:rsidTr="002A671A">
        <w:tc>
          <w:tcPr>
            <w:tcW w:w="828" w:type="dxa"/>
          </w:tcPr>
          <w:p w14:paraId="5359AD56" w14:textId="77777777" w:rsidR="00617538" w:rsidRPr="00A121A1" w:rsidRDefault="00617538" w:rsidP="002A671A">
            <w:r w:rsidRPr="00A121A1">
              <w:rPr>
                <w:b/>
                <w:sz w:val="22"/>
                <w:szCs w:val="22"/>
              </w:rPr>
              <w:t>Lot 3:</w:t>
            </w:r>
          </w:p>
        </w:tc>
        <w:tc>
          <w:tcPr>
            <w:tcW w:w="8082" w:type="dxa"/>
          </w:tcPr>
          <w:p w14:paraId="325BACA3" w14:textId="77777777" w:rsidR="00617538" w:rsidRPr="00A121A1" w:rsidRDefault="00617538" w:rsidP="002A671A">
            <w:pPr>
              <w:pStyle w:val="ListParagraph"/>
              <w:suppressAutoHyphens/>
              <w:ind w:left="0"/>
              <w:jc w:val="both"/>
              <w:rPr>
                <w:spacing w:val="-2"/>
                <w:sz w:val="22"/>
                <w:szCs w:val="22"/>
              </w:rPr>
            </w:pPr>
            <w:r w:rsidRPr="00A121A1">
              <w:rPr>
                <w:b/>
                <w:sz w:val="22"/>
                <w:szCs w:val="22"/>
              </w:rPr>
              <w:t xml:space="preserve">“Seismic upgrades, energy efficiency improvements and reconstruction of </w:t>
            </w:r>
            <w:r w:rsidRPr="00A121A1">
              <w:rPr>
                <w:b/>
                <w:bCs/>
              </w:rPr>
              <w:t>Kindergarten No.</w:t>
            </w:r>
            <w:r w:rsidRPr="00A121A1">
              <w:rPr>
                <w:b/>
                <w:sz w:val="22"/>
                <w:szCs w:val="22"/>
              </w:rPr>
              <w:t xml:space="preserve">46” </w:t>
            </w:r>
            <w:r w:rsidRPr="00A121A1">
              <w:rPr>
                <w:b/>
                <w:sz w:val="22"/>
              </w:rPr>
              <w:t>(</w:t>
            </w:r>
            <w:proofErr w:type="spellStart"/>
            <w:r w:rsidRPr="00A121A1">
              <w:rPr>
                <w:b/>
                <w:sz w:val="22"/>
              </w:rPr>
              <w:t>Ref#YEEP-II</w:t>
            </w:r>
            <w:proofErr w:type="spellEnd"/>
            <w:r w:rsidRPr="00A121A1">
              <w:rPr>
                <w:b/>
                <w:sz w:val="22"/>
              </w:rPr>
              <w:t>/ICB/CW-25/001-3)</w:t>
            </w:r>
            <w:r w:rsidRPr="00A121A1">
              <w:rPr>
                <w:b/>
                <w:sz w:val="22"/>
                <w:szCs w:val="22"/>
              </w:rPr>
              <w:t>;</w:t>
            </w:r>
          </w:p>
        </w:tc>
      </w:tr>
      <w:tr w:rsidR="00617538" w:rsidRPr="00A121A1" w14:paraId="26B999E8" w14:textId="77777777" w:rsidTr="002A671A">
        <w:tc>
          <w:tcPr>
            <w:tcW w:w="828" w:type="dxa"/>
          </w:tcPr>
          <w:p w14:paraId="09006575" w14:textId="77777777" w:rsidR="00617538" w:rsidRPr="00A121A1" w:rsidRDefault="00617538" w:rsidP="002A671A">
            <w:r w:rsidRPr="00A121A1">
              <w:rPr>
                <w:b/>
                <w:sz w:val="22"/>
                <w:szCs w:val="22"/>
              </w:rPr>
              <w:t>Lot 4:</w:t>
            </w:r>
          </w:p>
        </w:tc>
        <w:tc>
          <w:tcPr>
            <w:tcW w:w="8082" w:type="dxa"/>
          </w:tcPr>
          <w:p w14:paraId="6F40DF0B" w14:textId="77777777" w:rsidR="00617538" w:rsidRPr="00A121A1" w:rsidRDefault="00617538" w:rsidP="002A671A">
            <w:pPr>
              <w:pStyle w:val="ListParagraph"/>
              <w:suppressAutoHyphens/>
              <w:ind w:left="0"/>
              <w:jc w:val="both"/>
              <w:rPr>
                <w:spacing w:val="-2"/>
                <w:sz w:val="22"/>
                <w:szCs w:val="22"/>
              </w:rPr>
            </w:pPr>
            <w:r w:rsidRPr="00A121A1">
              <w:rPr>
                <w:b/>
                <w:sz w:val="22"/>
                <w:szCs w:val="22"/>
              </w:rPr>
              <w:t xml:space="preserve">“Seismic upgrades, energy efficiency improvements and reconstruction of </w:t>
            </w:r>
            <w:r w:rsidRPr="00A121A1">
              <w:rPr>
                <w:b/>
                <w:bCs/>
              </w:rPr>
              <w:t>Kindergarten No.</w:t>
            </w:r>
            <w:r w:rsidRPr="00A121A1">
              <w:rPr>
                <w:b/>
                <w:sz w:val="22"/>
                <w:szCs w:val="22"/>
              </w:rPr>
              <w:t xml:space="preserve">72” </w:t>
            </w:r>
            <w:r w:rsidRPr="00A121A1">
              <w:rPr>
                <w:b/>
                <w:sz w:val="22"/>
              </w:rPr>
              <w:t>(</w:t>
            </w:r>
            <w:proofErr w:type="spellStart"/>
            <w:r w:rsidRPr="00A121A1">
              <w:rPr>
                <w:b/>
                <w:sz w:val="22"/>
              </w:rPr>
              <w:t>Ref#YEEP-II</w:t>
            </w:r>
            <w:proofErr w:type="spellEnd"/>
            <w:r w:rsidRPr="00A121A1">
              <w:rPr>
                <w:b/>
                <w:sz w:val="22"/>
              </w:rPr>
              <w:t>/ICB/CW-25/001-4)</w:t>
            </w:r>
            <w:r w:rsidRPr="00A121A1">
              <w:rPr>
                <w:b/>
                <w:sz w:val="22"/>
                <w:szCs w:val="22"/>
              </w:rPr>
              <w:t>;</w:t>
            </w:r>
          </w:p>
        </w:tc>
      </w:tr>
      <w:tr w:rsidR="00617538" w:rsidRPr="00A121A1" w14:paraId="50B8F063" w14:textId="77777777" w:rsidTr="002A671A">
        <w:tc>
          <w:tcPr>
            <w:tcW w:w="828" w:type="dxa"/>
          </w:tcPr>
          <w:p w14:paraId="395219A5" w14:textId="77777777" w:rsidR="00617538" w:rsidRPr="00A121A1" w:rsidRDefault="00617538" w:rsidP="002A671A">
            <w:r w:rsidRPr="00A121A1">
              <w:rPr>
                <w:b/>
                <w:sz w:val="22"/>
                <w:szCs w:val="22"/>
              </w:rPr>
              <w:t>Lot 5:</w:t>
            </w:r>
          </w:p>
        </w:tc>
        <w:tc>
          <w:tcPr>
            <w:tcW w:w="8082" w:type="dxa"/>
          </w:tcPr>
          <w:p w14:paraId="1DAEA9E8" w14:textId="77777777" w:rsidR="00617538" w:rsidRPr="00A121A1" w:rsidRDefault="00617538" w:rsidP="002A671A">
            <w:pPr>
              <w:pStyle w:val="ListParagraph"/>
              <w:suppressAutoHyphens/>
              <w:ind w:left="0"/>
              <w:jc w:val="both"/>
              <w:rPr>
                <w:spacing w:val="-2"/>
                <w:sz w:val="22"/>
                <w:szCs w:val="22"/>
              </w:rPr>
            </w:pPr>
            <w:r w:rsidRPr="00A121A1">
              <w:rPr>
                <w:b/>
                <w:sz w:val="22"/>
                <w:szCs w:val="22"/>
              </w:rPr>
              <w:t xml:space="preserve">“Seismic upgrades, energy efficiency improvements and reconstruction of </w:t>
            </w:r>
            <w:r w:rsidRPr="00A121A1">
              <w:rPr>
                <w:b/>
                <w:bCs/>
              </w:rPr>
              <w:t>Kindergarten No.</w:t>
            </w:r>
            <w:r w:rsidRPr="00A121A1">
              <w:rPr>
                <w:b/>
                <w:sz w:val="22"/>
                <w:szCs w:val="22"/>
              </w:rPr>
              <w:t xml:space="preserve">93” </w:t>
            </w:r>
            <w:r w:rsidRPr="00A121A1">
              <w:rPr>
                <w:b/>
                <w:sz w:val="22"/>
              </w:rPr>
              <w:t>(</w:t>
            </w:r>
            <w:proofErr w:type="spellStart"/>
            <w:r w:rsidRPr="00A121A1">
              <w:rPr>
                <w:b/>
                <w:sz w:val="22"/>
              </w:rPr>
              <w:t>Ref#YEEP-II</w:t>
            </w:r>
            <w:proofErr w:type="spellEnd"/>
            <w:r w:rsidRPr="00A121A1">
              <w:rPr>
                <w:b/>
                <w:sz w:val="22"/>
              </w:rPr>
              <w:t>/ICB/CW-25/001-5)</w:t>
            </w:r>
            <w:r w:rsidRPr="00A121A1">
              <w:rPr>
                <w:b/>
                <w:sz w:val="22"/>
                <w:szCs w:val="22"/>
              </w:rPr>
              <w:t xml:space="preserve">; </w:t>
            </w:r>
          </w:p>
        </w:tc>
      </w:tr>
      <w:tr w:rsidR="00617538" w:rsidRPr="00A121A1" w14:paraId="42413084" w14:textId="77777777" w:rsidTr="002A671A">
        <w:tc>
          <w:tcPr>
            <w:tcW w:w="828" w:type="dxa"/>
          </w:tcPr>
          <w:p w14:paraId="61EAEE43" w14:textId="77777777" w:rsidR="00617538" w:rsidRPr="00A121A1" w:rsidRDefault="00617538" w:rsidP="002A671A">
            <w:r w:rsidRPr="00A121A1">
              <w:rPr>
                <w:b/>
                <w:sz w:val="22"/>
                <w:szCs w:val="22"/>
              </w:rPr>
              <w:t>Lot 6:</w:t>
            </w:r>
          </w:p>
        </w:tc>
        <w:tc>
          <w:tcPr>
            <w:tcW w:w="8082" w:type="dxa"/>
          </w:tcPr>
          <w:p w14:paraId="0CC37A8D" w14:textId="77777777" w:rsidR="00617538" w:rsidRPr="00A121A1" w:rsidRDefault="00617538" w:rsidP="002A671A">
            <w:pPr>
              <w:pStyle w:val="ListParagraph"/>
              <w:suppressAutoHyphens/>
              <w:ind w:left="0"/>
              <w:jc w:val="both"/>
              <w:rPr>
                <w:b/>
                <w:sz w:val="22"/>
              </w:rPr>
            </w:pPr>
            <w:r w:rsidRPr="00A121A1">
              <w:rPr>
                <w:b/>
                <w:sz w:val="22"/>
                <w:szCs w:val="22"/>
              </w:rPr>
              <w:t xml:space="preserve">“Seismic upgrades, energy efficiency improvements and reconstruction of </w:t>
            </w:r>
            <w:r w:rsidRPr="00A121A1">
              <w:rPr>
                <w:b/>
                <w:bCs/>
              </w:rPr>
              <w:t>Kindergarten No.</w:t>
            </w:r>
            <w:r w:rsidRPr="00A121A1">
              <w:rPr>
                <w:b/>
                <w:sz w:val="22"/>
                <w:szCs w:val="22"/>
              </w:rPr>
              <w:t xml:space="preserve">133” </w:t>
            </w:r>
            <w:r w:rsidRPr="00A121A1">
              <w:rPr>
                <w:b/>
                <w:sz w:val="22"/>
              </w:rPr>
              <w:t>(</w:t>
            </w:r>
            <w:proofErr w:type="spellStart"/>
            <w:r w:rsidRPr="00A121A1">
              <w:rPr>
                <w:b/>
                <w:sz w:val="22"/>
              </w:rPr>
              <w:t>Ref#YEEP-II</w:t>
            </w:r>
            <w:proofErr w:type="spellEnd"/>
            <w:r w:rsidRPr="00A121A1">
              <w:rPr>
                <w:b/>
                <w:sz w:val="22"/>
              </w:rPr>
              <w:t>/ICB/CW-25/001-6); and</w:t>
            </w:r>
          </w:p>
        </w:tc>
      </w:tr>
      <w:tr w:rsidR="00617538" w:rsidRPr="00A121A1" w14:paraId="0144DFAA" w14:textId="77777777" w:rsidTr="002A671A">
        <w:tc>
          <w:tcPr>
            <w:tcW w:w="828" w:type="dxa"/>
          </w:tcPr>
          <w:p w14:paraId="59EF01C2" w14:textId="77777777" w:rsidR="00617538" w:rsidRPr="00A121A1" w:rsidRDefault="00617538" w:rsidP="002A671A">
            <w:pPr>
              <w:rPr>
                <w:b/>
                <w:sz w:val="22"/>
                <w:szCs w:val="22"/>
              </w:rPr>
            </w:pPr>
            <w:r w:rsidRPr="00A121A1">
              <w:rPr>
                <w:b/>
                <w:sz w:val="22"/>
                <w:szCs w:val="22"/>
              </w:rPr>
              <w:t xml:space="preserve">Lot 7: </w:t>
            </w:r>
          </w:p>
        </w:tc>
        <w:tc>
          <w:tcPr>
            <w:tcW w:w="8082" w:type="dxa"/>
          </w:tcPr>
          <w:p w14:paraId="41234618" w14:textId="77777777" w:rsidR="00617538" w:rsidRPr="00A121A1" w:rsidRDefault="00617538" w:rsidP="002A671A">
            <w:pPr>
              <w:pStyle w:val="ListParagraph"/>
              <w:suppressAutoHyphens/>
              <w:ind w:left="0"/>
              <w:jc w:val="both"/>
              <w:rPr>
                <w:b/>
                <w:sz w:val="22"/>
                <w:szCs w:val="22"/>
              </w:rPr>
            </w:pPr>
            <w:r w:rsidRPr="00A121A1">
              <w:rPr>
                <w:b/>
                <w:sz w:val="22"/>
                <w:szCs w:val="22"/>
              </w:rPr>
              <w:t xml:space="preserve">“Seismic upgrades, energy efficiency improvements and reconstruction of Kindergarten No. 64” (Ref# </w:t>
            </w:r>
            <w:proofErr w:type="spellStart"/>
            <w:r w:rsidRPr="00A121A1">
              <w:rPr>
                <w:b/>
                <w:sz w:val="22"/>
              </w:rPr>
              <w:t>Ref#YEEP-II</w:t>
            </w:r>
            <w:proofErr w:type="spellEnd"/>
            <w:r w:rsidRPr="00A121A1">
              <w:rPr>
                <w:b/>
                <w:sz w:val="22"/>
              </w:rPr>
              <w:t>/ICB/CW-25/001-7</w:t>
            </w:r>
            <w:r w:rsidRPr="00A121A1">
              <w:rPr>
                <w:b/>
                <w:sz w:val="22"/>
                <w:szCs w:val="22"/>
              </w:rPr>
              <w:t>).</w:t>
            </w:r>
          </w:p>
        </w:tc>
      </w:tr>
    </w:tbl>
    <w:p w14:paraId="4A45212C" w14:textId="77777777" w:rsidR="00617538" w:rsidRDefault="00617538" w:rsidP="00617538">
      <w:pPr>
        <w:pStyle w:val="ListParagraph"/>
        <w:suppressAutoHyphens/>
        <w:ind w:left="360"/>
        <w:jc w:val="both"/>
        <w:rPr>
          <w:spacing w:val="-2"/>
          <w:sz w:val="22"/>
          <w:szCs w:val="22"/>
        </w:rPr>
      </w:pPr>
    </w:p>
    <w:p w14:paraId="59167977" w14:textId="77777777" w:rsidR="00617538" w:rsidRDefault="00617538" w:rsidP="00617538">
      <w:pPr>
        <w:pStyle w:val="ListParagraph"/>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after="200"/>
        <w:ind w:left="360"/>
        <w:jc w:val="both"/>
        <w:rPr>
          <w:i/>
          <w:sz w:val="22"/>
          <w:szCs w:val="22"/>
        </w:rPr>
      </w:pPr>
      <w:r w:rsidRPr="00B7187C">
        <w:rPr>
          <w:spacing w:val="-2"/>
          <w:sz w:val="22"/>
          <w:szCs w:val="22"/>
        </w:rPr>
        <w:t>Th</w:t>
      </w:r>
      <w:r>
        <w:rPr>
          <w:spacing w:val="-2"/>
          <w:sz w:val="22"/>
          <w:szCs w:val="22"/>
        </w:rPr>
        <w:t>ese</w:t>
      </w:r>
      <w:r w:rsidRPr="00B7187C">
        <w:rPr>
          <w:spacing w:val="-2"/>
          <w:sz w:val="22"/>
          <w:szCs w:val="22"/>
        </w:rPr>
        <w:t xml:space="preserve"> contract</w:t>
      </w:r>
      <w:r>
        <w:rPr>
          <w:spacing w:val="-2"/>
          <w:sz w:val="22"/>
          <w:szCs w:val="22"/>
        </w:rPr>
        <w:t>s</w:t>
      </w:r>
      <w:r w:rsidRPr="00B7187C">
        <w:rPr>
          <w:spacing w:val="-2"/>
          <w:sz w:val="22"/>
          <w:szCs w:val="22"/>
        </w:rPr>
        <w:t xml:space="preserve"> </w:t>
      </w:r>
      <w:r w:rsidRPr="00B7187C">
        <w:rPr>
          <w:sz w:val="22"/>
          <w:szCs w:val="22"/>
        </w:rPr>
        <w:t xml:space="preserve">will be jointly financed by the </w:t>
      </w:r>
      <w:r w:rsidRPr="00B7187C">
        <w:rPr>
          <w:spacing w:val="-2"/>
          <w:sz w:val="22"/>
          <w:szCs w:val="22"/>
        </w:rPr>
        <w:t>European Investment Bank (EIB) and Government of the Republic of Armenia.  Bidding process will be governed by the European Investment Bank (EIB) according to</w:t>
      </w:r>
      <w:r w:rsidRPr="00B7187C">
        <w:rPr>
          <w:sz w:val="22"/>
          <w:szCs w:val="22"/>
        </w:rPr>
        <w:t xml:space="preserve"> Bank’s rules and procedures </w:t>
      </w:r>
      <w:r w:rsidRPr="00B7187C">
        <w:rPr>
          <w:i/>
          <w:sz w:val="22"/>
          <w:szCs w:val="22"/>
        </w:rPr>
        <w:t>(“</w:t>
      </w:r>
      <w:bookmarkStart w:id="1" w:name="_Hlk197598970"/>
      <w:r w:rsidRPr="00B7187C">
        <w:rPr>
          <w:i/>
          <w:sz w:val="22"/>
          <w:szCs w:val="22"/>
        </w:rPr>
        <w:t>Guide to Procurement for projects financed by the EIB</w:t>
      </w:r>
      <w:bookmarkEnd w:id="1"/>
      <w:r w:rsidRPr="00B7187C">
        <w:rPr>
          <w:i/>
          <w:sz w:val="22"/>
          <w:szCs w:val="22"/>
        </w:rPr>
        <w:t xml:space="preserve">”, </w:t>
      </w:r>
      <w:r>
        <w:rPr>
          <w:i/>
          <w:sz w:val="22"/>
          <w:szCs w:val="22"/>
        </w:rPr>
        <w:t>March 2024</w:t>
      </w:r>
      <w:r w:rsidRPr="00B7187C">
        <w:rPr>
          <w:i/>
          <w:sz w:val="22"/>
          <w:szCs w:val="22"/>
        </w:rPr>
        <w:t>)</w:t>
      </w:r>
      <w:r w:rsidRPr="00B7187C">
        <w:rPr>
          <w:rStyle w:val="FootnoteReference"/>
          <w:i/>
          <w:sz w:val="22"/>
          <w:szCs w:val="22"/>
        </w:rPr>
        <w:t xml:space="preserve"> </w:t>
      </w:r>
      <w:r w:rsidRPr="00B7187C">
        <w:rPr>
          <w:rStyle w:val="FootnoteReference"/>
          <w:i/>
          <w:sz w:val="22"/>
          <w:szCs w:val="22"/>
        </w:rPr>
        <w:footnoteReference w:id="1"/>
      </w:r>
      <w:r w:rsidRPr="00B7187C">
        <w:rPr>
          <w:i/>
          <w:sz w:val="22"/>
          <w:szCs w:val="22"/>
        </w:rPr>
        <w:t>.</w:t>
      </w:r>
    </w:p>
    <w:p w14:paraId="4E3E9F6C" w14:textId="77777777" w:rsidR="00617538" w:rsidRDefault="00617538" w:rsidP="00617538">
      <w:pPr>
        <w:pStyle w:val="ListParagraph"/>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after="200"/>
        <w:ind w:left="360"/>
        <w:jc w:val="both"/>
        <w:rPr>
          <w:i/>
          <w:sz w:val="22"/>
          <w:szCs w:val="22"/>
        </w:rPr>
      </w:pPr>
    </w:p>
    <w:p w14:paraId="5376E03A" w14:textId="47261D4A" w:rsidR="00617538" w:rsidRPr="008E531F" w:rsidRDefault="00617538" w:rsidP="00617538">
      <w:pPr>
        <w:pStyle w:val="ListParagraph"/>
        <w:numPr>
          <w:ilvl w:val="0"/>
          <w:numId w:val="1"/>
        </w:numPr>
        <w:suppressAutoHyphens/>
        <w:jc w:val="both"/>
        <w:rPr>
          <w:i/>
          <w:spacing w:val="-2"/>
          <w:sz w:val="22"/>
          <w:szCs w:val="22"/>
        </w:rPr>
      </w:pPr>
      <w:r w:rsidRPr="00B7187C">
        <w:rPr>
          <w:spacing w:val="-2"/>
          <w:sz w:val="22"/>
          <w:szCs w:val="22"/>
        </w:rPr>
        <w:t xml:space="preserve">The </w:t>
      </w:r>
      <w:r w:rsidRPr="006F481C">
        <w:rPr>
          <w:b/>
          <w:bCs/>
          <w:spacing w:val="-2"/>
          <w:sz w:val="22"/>
          <w:szCs w:val="22"/>
        </w:rPr>
        <w:t>“Yerevan Municipality” (“Employer”)</w:t>
      </w:r>
      <w:r w:rsidRPr="00B7187C">
        <w:rPr>
          <w:spacing w:val="-2"/>
          <w:sz w:val="22"/>
          <w:szCs w:val="22"/>
        </w:rPr>
        <w:t xml:space="preserve"> </w:t>
      </w:r>
      <w:r w:rsidRPr="006F481C">
        <w:rPr>
          <w:spacing w:val="-2"/>
          <w:sz w:val="22"/>
          <w:szCs w:val="22"/>
        </w:rPr>
        <w:t xml:space="preserve">through </w:t>
      </w:r>
      <w:r w:rsidRPr="00157202">
        <w:rPr>
          <w:b/>
          <w:bCs/>
          <w:sz w:val="22"/>
          <w:szCs w:val="22"/>
        </w:rPr>
        <w:t>“Investing Projects Implementation Unit Building up of Yerevan” Community Non-Commercial Organization</w:t>
      </w:r>
      <w:r w:rsidRPr="00157202">
        <w:rPr>
          <w:spacing w:val="-2"/>
          <w:sz w:val="22"/>
          <w:szCs w:val="22"/>
        </w:rPr>
        <w:t xml:space="preserve"> </w:t>
      </w:r>
      <w:r w:rsidRPr="00157202">
        <w:rPr>
          <w:b/>
          <w:bCs/>
          <w:sz w:val="22"/>
          <w:szCs w:val="22"/>
        </w:rPr>
        <w:t>(“IPIU Building up of Yerevan” CNCO</w:t>
      </w:r>
      <w:r w:rsidR="002E187C">
        <w:rPr>
          <w:b/>
          <w:bCs/>
          <w:sz w:val="22"/>
          <w:szCs w:val="22"/>
        </w:rPr>
        <w:t xml:space="preserve">, </w:t>
      </w:r>
      <w:bookmarkStart w:id="3" w:name="_Hlk206059443"/>
      <w:r w:rsidR="002E187C">
        <w:rPr>
          <w:b/>
          <w:noProof/>
          <w:sz w:val="22"/>
          <w:szCs w:val="22"/>
        </w:rPr>
        <w:t xml:space="preserve">the </w:t>
      </w:r>
      <w:r w:rsidR="002E187C" w:rsidRPr="007161BF">
        <w:rPr>
          <w:b/>
          <w:noProof/>
          <w:sz w:val="22"/>
          <w:szCs w:val="22"/>
        </w:rPr>
        <w:t>Procuring/Executing Agency of the “</w:t>
      </w:r>
      <w:r w:rsidR="002E187C">
        <w:rPr>
          <w:b/>
          <w:noProof/>
          <w:sz w:val="22"/>
          <w:szCs w:val="22"/>
        </w:rPr>
        <w:t>Employer</w:t>
      </w:r>
      <w:r w:rsidR="002E187C" w:rsidRPr="007161BF">
        <w:rPr>
          <w:b/>
          <w:noProof/>
          <w:sz w:val="22"/>
          <w:szCs w:val="22"/>
        </w:rPr>
        <w:t>”</w:t>
      </w:r>
      <w:bookmarkEnd w:id="3"/>
      <w:r w:rsidRPr="00157202">
        <w:rPr>
          <w:b/>
          <w:bCs/>
          <w:sz w:val="22"/>
          <w:szCs w:val="22"/>
        </w:rPr>
        <w:t>)</w:t>
      </w:r>
      <w:r w:rsidRPr="00157202">
        <w:rPr>
          <w:spacing w:val="-2"/>
          <w:sz w:val="22"/>
          <w:szCs w:val="22"/>
        </w:rPr>
        <w:t xml:space="preserve"> </w:t>
      </w:r>
      <w:r>
        <w:rPr>
          <w:spacing w:val="-2"/>
          <w:sz w:val="22"/>
          <w:szCs w:val="22"/>
        </w:rPr>
        <w:t xml:space="preserve">of </w:t>
      </w:r>
      <w:r w:rsidRPr="006815DE">
        <w:rPr>
          <w:bCs/>
          <w:sz w:val="22"/>
          <w:szCs w:val="22"/>
        </w:rPr>
        <w:t>Yerevan Municipality</w:t>
      </w:r>
      <w:r w:rsidRPr="00B7187C">
        <w:rPr>
          <w:b/>
          <w:spacing w:val="-2"/>
          <w:sz w:val="22"/>
          <w:szCs w:val="22"/>
        </w:rPr>
        <w:t xml:space="preserve"> </w:t>
      </w:r>
      <w:r w:rsidRPr="00B7187C">
        <w:rPr>
          <w:spacing w:val="-2"/>
          <w:sz w:val="22"/>
          <w:szCs w:val="22"/>
        </w:rPr>
        <w:t>now invites sealed Bids from eligible Bidders for</w:t>
      </w:r>
      <w:r>
        <w:rPr>
          <w:spacing w:val="-2"/>
          <w:sz w:val="22"/>
          <w:szCs w:val="22"/>
        </w:rPr>
        <w:t xml:space="preserve"> implementation </w:t>
      </w:r>
      <w:r w:rsidRPr="008E531F">
        <w:rPr>
          <w:spacing w:val="-2"/>
          <w:sz w:val="22"/>
          <w:szCs w:val="22"/>
        </w:rPr>
        <w:t xml:space="preserve">of </w:t>
      </w:r>
      <w:r w:rsidRPr="008E531F">
        <w:rPr>
          <w:b/>
          <w:sz w:val="22"/>
          <w:szCs w:val="22"/>
        </w:rPr>
        <w:t>construction works, heating and ventilation, internal cold and hot water supply, internal water supply networks and rainwater drainage networks, power supply works, fire alarm networks and other works (as per BOQs).</w:t>
      </w:r>
    </w:p>
    <w:p w14:paraId="128503CA" w14:textId="77777777" w:rsidR="00617538" w:rsidRPr="00B7187C" w:rsidRDefault="00617538" w:rsidP="00617538">
      <w:pPr>
        <w:pStyle w:val="ListParagraph"/>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after="200"/>
        <w:ind w:left="360"/>
        <w:jc w:val="both"/>
        <w:rPr>
          <w:b/>
          <w:sz w:val="22"/>
          <w:szCs w:val="22"/>
        </w:rPr>
      </w:pPr>
    </w:p>
    <w:p w14:paraId="13EF1362" w14:textId="77777777" w:rsidR="00617538" w:rsidRDefault="00617538" w:rsidP="00617538">
      <w:pPr>
        <w:pStyle w:val="ListParagraph"/>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ind w:left="360"/>
        <w:jc w:val="both"/>
        <w:rPr>
          <w:b/>
          <w:sz w:val="22"/>
          <w:szCs w:val="22"/>
        </w:rPr>
      </w:pPr>
      <w:r w:rsidRPr="00B7187C">
        <w:rPr>
          <w:b/>
          <w:sz w:val="22"/>
          <w:szCs w:val="22"/>
        </w:rPr>
        <w:lastRenderedPageBreak/>
        <w:t xml:space="preserve">The construction sites are located at: </w:t>
      </w:r>
    </w:p>
    <w:tbl>
      <w:tblPr>
        <w:tblW w:w="8280" w:type="dxa"/>
        <w:tblInd w:w="468" w:type="dxa"/>
        <w:tblLook w:val="04A0" w:firstRow="1" w:lastRow="0" w:firstColumn="1" w:lastColumn="0" w:noHBand="0" w:noVBand="1"/>
      </w:tblPr>
      <w:tblGrid>
        <w:gridCol w:w="828"/>
        <w:gridCol w:w="7452"/>
      </w:tblGrid>
      <w:tr w:rsidR="00617538" w:rsidRPr="00157202" w14:paraId="7B93246C" w14:textId="77777777" w:rsidTr="002A671A">
        <w:tc>
          <w:tcPr>
            <w:tcW w:w="828" w:type="dxa"/>
          </w:tcPr>
          <w:p w14:paraId="55C75684" w14:textId="77777777" w:rsidR="00617538" w:rsidRPr="00157202" w:rsidRDefault="00617538" w:rsidP="002A671A">
            <w:pPr>
              <w:pStyle w:val="ListParagraph"/>
              <w:suppressAutoHyphens/>
              <w:ind w:left="0"/>
              <w:rPr>
                <w:spacing w:val="-2"/>
                <w:sz w:val="22"/>
                <w:szCs w:val="22"/>
              </w:rPr>
            </w:pPr>
            <w:bookmarkStart w:id="4" w:name="_Hlk206060036"/>
            <w:r w:rsidRPr="00157202">
              <w:rPr>
                <w:b/>
                <w:sz w:val="22"/>
                <w:szCs w:val="22"/>
              </w:rPr>
              <w:t>Lot 1:</w:t>
            </w:r>
          </w:p>
        </w:tc>
        <w:tc>
          <w:tcPr>
            <w:tcW w:w="7452" w:type="dxa"/>
          </w:tcPr>
          <w:p w14:paraId="5B4EDD78" w14:textId="77777777" w:rsidR="00617538" w:rsidRPr="00157202" w:rsidRDefault="00617538" w:rsidP="002A671A">
            <w:pPr>
              <w:pStyle w:val="ListParagraph"/>
              <w:suppressAutoHyphens/>
              <w:ind w:left="0"/>
              <w:jc w:val="both"/>
              <w:rPr>
                <w:spacing w:val="-2"/>
                <w:sz w:val="22"/>
                <w:szCs w:val="22"/>
              </w:rPr>
            </w:pPr>
            <w:r w:rsidRPr="00157202">
              <w:rPr>
                <w:b/>
                <w:sz w:val="22"/>
                <w:szCs w:val="22"/>
              </w:rPr>
              <w:t xml:space="preserve">Tigran </w:t>
            </w:r>
            <w:proofErr w:type="spellStart"/>
            <w:r w:rsidRPr="00157202">
              <w:rPr>
                <w:b/>
                <w:sz w:val="22"/>
                <w:szCs w:val="22"/>
              </w:rPr>
              <w:t>Metsi</w:t>
            </w:r>
            <w:proofErr w:type="spellEnd"/>
            <w:r w:rsidRPr="00157202">
              <w:rPr>
                <w:b/>
                <w:sz w:val="22"/>
                <w:szCs w:val="22"/>
              </w:rPr>
              <w:t xml:space="preserve"> Ave., 36a Building (Kentron administrative district), Yerevan, Armenia</w:t>
            </w:r>
            <w:r w:rsidRPr="00157202">
              <w:rPr>
                <w:b/>
                <w:sz w:val="22"/>
              </w:rPr>
              <w:t>;</w:t>
            </w:r>
          </w:p>
        </w:tc>
      </w:tr>
      <w:tr w:rsidR="00617538" w:rsidRPr="00157202" w14:paraId="012F5BBC" w14:textId="77777777" w:rsidTr="002A671A">
        <w:tc>
          <w:tcPr>
            <w:tcW w:w="828" w:type="dxa"/>
          </w:tcPr>
          <w:p w14:paraId="56E94FA6" w14:textId="77777777" w:rsidR="00617538" w:rsidRPr="00157202" w:rsidRDefault="00617538" w:rsidP="002A671A">
            <w:r w:rsidRPr="00157202">
              <w:rPr>
                <w:b/>
                <w:sz w:val="22"/>
                <w:szCs w:val="22"/>
              </w:rPr>
              <w:t>Lot 2:</w:t>
            </w:r>
          </w:p>
        </w:tc>
        <w:tc>
          <w:tcPr>
            <w:tcW w:w="7452" w:type="dxa"/>
          </w:tcPr>
          <w:p w14:paraId="4FA17C6E" w14:textId="77777777" w:rsidR="00617538" w:rsidRPr="00157202" w:rsidRDefault="00617538" w:rsidP="002A671A">
            <w:pPr>
              <w:pStyle w:val="ListParagraph"/>
              <w:suppressAutoHyphens/>
              <w:ind w:left="0"/>
              <w:jc w:val="both"/>
              <w:rPr>
                <w:b/>
                <w:sz w:val="22"/>
                <w:szCs w:val="22"/>
              </w:rPr>
            </w:pPr>
            <w:r w:rsidRPr="00157202">
              <w:rPr>
                <w:b/>
                <w:sz w:val="22"/>
                <w:szCs w:val="22"/>
              </w:rPr>
              <w:t>Margaryan Street, 18a Building (</w:t>
            </w:r>
            <w:proofErr w:type="spellStart"/>
            <w:r w:rsidRPr="00157202">
              <w:rPr>
                <w:b/>
                <w:sz w:val="22"/>
                <w:szCs w:val="22"/>
              </w:rPr>
              <w:t>Ajapnyak</w:t>
            </w:r>
            <w:proofErr w:type="spellEnd"/>
            <w:r w:rsidRPr="00157202">
              <w:rPr>
                <w:b/>
                <w:sz w:val="22"/>
                <w:szCs w:val="22"/>
              </w:rPr>
              <w:t xml:space="preserve"> administrative district), Yerevan, Armenia</w:t>
            </w:r>
            <w:r w:rsidRPr="00157202">
              <w:rPr>
                <w:b/>
                <w:sz w:val="22"/>
              </w:rPr>
              <w:t>;</w:t>
            </w:r>
          </w:p>
        </w:tc>
      </w:tr>
      <w:tr w:rsidR="00617538" w:rsidRPr="00157202" w14:paraId="0D53F7AF" w14:textId="77777777" w:rsidTr="002A671A">
        <w:tc>
          <w:tcPr>
            <w:tcW w:w="828" w:type="dxa"/>
          </w:tcPr>
          <w:p w14:paraId="10DEF1A0" w14:textId="77777777" w:rsidR="00617538" w:rsidRPr="00157202" w:rsidRDefault="00617538" w:rsidP="002A671A">
            <w:r w:rsidRPr="00157202">
              <w:rPr>
                <w:b/>
                <w:sz w:val="22"/>
                <w:szCs w:val="22"/>
              </w:rPr>
              <w:t>Lot 3:</w:t>
            </w:r>
          </w:p>
        </w:tc>
        <w:tc>
          <w:tcPr>
            <w:tcW w:w="7452" w:type="dxa"/>
          </w:tcPr>
          <w:p w14:paraId="53E82EB0" w14:textId="77777777" w:rsidR="00617538" w:rsidRPr="00157202" w:rsidRDefault="00617538" w:rsidP="002A671A">
            <w:pPr>
              <w:pStyle w:val="ListParagraph"/>
              <w:suppressAutoHyphens/>
              <w:ind w:left="0"/>
              <w:jc w:val="both"/>
              <w:rPr>
                <w:spacing w:val="-2"/>
                <w:sz w:val="22"/>
                <w:szCs w:val="22"/>
              </w:rPr>
            </w:pPr>
            <w:r w:rsidRPr="00157202">
              <w:rPr>
                <w:b/>
                <w:sz w:val="22"/>
                <w:szCs w:val="22"/>
              </w:rPr>
              <w:t xml:space="preserve">15th District, </w:t>
            </w:r>
            <w:proofErr w:type="spellStart"/>
            <w:r w:rsidRPr="00157202">
              <w:rPr>
                <w:b/>
                <w:sz w:val="22"/>
                <w:szCs w:val="22"/>
              </w:rPr>
              <w:t>Bashinjaghyan</w:t>
            </w:r>
            <w:proofErr w:type="spellEnd"/>
            <w:r w:rsidRPr="00157202">
              <w:rPr>
                <w:b/>
                <w:sz w:val="22"/>
                <w:szCs w:val="22"/>
              </w:rPr>
              <w:t xml:space="preserve"> Street 1st Lane, 9 Building</w:t>
            </w:r>
            <w:r w:rsidRPr="00157202">
              <w:rPr>
                <w:rFonts w:ascii="regular" w:hAnsi="regular"/>
                <w:sz w:val="21"/>
                <w:szCs w:val="21"/>
                <w:shd w:val="clear" w:color="auto" w:fill="FFFFFF"/>
              </w:rPr>
              <w:t xml:space="preserve"> </w:t>
            </w:r>
            <w:r w:rsidRPr="00157202">
              <w:rPr>
                <w:b/>
                <w:sz w:val="22"/>
                <w:szCs w:val="22"/>
              </w:rPr>
              <w:t>(</w:t>
            </w:r>
            <w:proofErr w:type="spellStart"/>
            <w:r w:rsidRPr="00157202">
              <w:rPr>
                <w:b/>
                <w:sz w:val="22"/>
                <w:szCs w:val="22"/>
              </w:rPr>
              <w:t>Ajapnyak</w:t>
            </w:r>
            <w:proofErr w:type="spellEnd"/>
            <w:r w:rsidRPr="00157202">
              <w:rPr>
                <w:b/>
                <w:sz w:val="22"/>
                <w:szCs w:val="22"/>
              </w:rPr>
              <w:t xml:space="preserve"> administrative district), Yerevan, Armenia</w:t>
            </w:r>
            <w:r w:rsidRPr="00157202">
              <w:rPr>
                <w:b/>
                <w:sz w:val="22"/>
              </w:rPr>
              <w:t>;</w:t>
            </w:r>
          </w:p>
        </w:tc>
      </w:tr>
      <w:tr w:rsidR="00617538" w:rsidRPr="00157202" w14:paraId="743FA4D2" w14:textId="77777777" w:rsidTr="002A671A">
        <w:tc>
          <w:tcPr>
            <w:tcW w:w="828" w:type="dxa"/>
          </w:tcPr>
          <w:p w14:paraId="6951B95B" w14:textId="77777777" w:rsidR="00617538" w:rsidRPr="00157202" w:rsidRDefault="00617538" w:rsidP="002A671A">
            <w:r w:rsidRPr="00157202">
              <w:rPr>
                <w:b/>
                <w:sz w:val="22"/>
                <w:szCs w:val="22"/>
              </w:rPr>
              <w:t>Lot 4:</w:t>
            </w:r>
          </w:p>
        </w:tc>
        <w:tc>
          <w:tcPr>
            <w:tcW w:w="7452" w:type="dxa"/>
          </w:tcPr>
          <w:p w14:paraId="7F40CE84" w14:textId="77777777" w:rsidR="00617538" w:rsidRPr="00157202" w:rsidRDefault="00617538" w:rsidP="002A671A">
            <w:pPr>
              <w:shd w:val="clear" w:color="auto" w:fill="FFFFFF"/>
              <w:jc w:val="both"/>
              <w:rPr>
                <w:spacing w:val="-2"/>
                <w:sz w:val="22"/>
                <w:szCs w:val="22"/>
              </w:rPr>
            </w:pPr>
            <w:proofErr w:type="spellStart"/>
            <w:r w:rsidRPr="00157202">
              <w:rPr>
                <w:b/>
                <w:sz w:val="22"/>
                <w:szCs w:val="22"/>
              </w:rPr>
              <w:t>Khaghagh</w:t>
            </w:r>
            <w:proofErr w:type="spellEnd"/>
            <w:r w:rsidRPr="00157202">
              <w:rPr>
                <w:b/>
                <w:sz w:val="22"/>
                <w:szCs w:val="22"/>
              </w:rPr>
              <w:t xml:space="preserve"> Doni Street, 21 Building</w:t>
            </w:r>
            <w:r w:rsidRPr="00157202">
              <w:rPr>
                <w:rFonts w:ascii="regular" w:hAnsi="regular"/>
                <w:sz w:val="21"/>
                <w:szCs w:val="21"/>
                <w:shd w:val="clear" w:color="auto" w:fill="FFFFFF"/>
              </w:rPr>
              <w:t xml:space="preserve"> </w:t>
            </w:r>
            <w:r w:rsidRPr="00157202">
              <w:rPr>
                <w:b/>
                <w:sz w:val="22"/>
                <w:szCs w:val="22"/>
              </w:rPr>
              <w:t>(</w:t>
            </w:r>
            <w:proofErr w:type="spellStart"/>
            <w:r w:rsidRPr="00157202">
              <w:rPr>
                <w:b/>
                <w:sz w:val="22"/>
                <w:szCs w:val="22"/>
              </w:rPr>
              <w:t>Erebuni</w:t>
            </w:r>
            <w:proofErr w:type="spellEnd"/>
            <w:r w:rsidRPr="00157202">
              <w:rPr>
                <w:b/>
                <w:sz w:val="22"/>
                <w:szCs w:val="22"/>
              </w:rPr>
              <w:t xml:space="preserve"> administrative district), Yerevan, Armenia</w:t>
            </w:r>
            <w:r w:rsidRPr="00157202">
              <w:rPr>
                <w:b/>
                <w:sz w:val="22"/>
              </w:rPr>
              <w:t>;</w:t>
            </w:r>
          </w:p>
        </w:tc>
      </w:tr>
      <w:tr w:rsidR="00617538" w:rsidRPr="00157202" w14:paraId="2F7D544D" w14:textId="77777777" w:rsidTr="002A671A">
        <w:tc>
          <w:tcPr>
            <w:tcW w:w="828" w:type="dxa"/>
          </w:tcPr>
          <w:p w14:paraId="48A30AB1" w14:textId="77777777" w:rsidR="00617538" w:rsidRPr="00157202" w:rsidRDefault="00617538" w:rsidP="002A671A">
            <w:r w:rsidRPr="00157202">
              <w:rPr>
                <w:b/>
                <w:sz w:val="22"/>
                <w:szCs w:val="22"/>
              </w:rPr>
              <w:t>Lot 5:</w:t>
            </w:r>
          </w:p>
        </w:tc>
        <w:tc>
          <w:tcPr>
            <w:tcW w:w="7452" w:type="dxa"/>
          </w:tcPr>
          <w:p w14:paraId="31DE12A0" w14:textId="77777777" w:rsidR="00617538" w:rsidRPr="00157202" w:rsidRDefault="00617538" w:rsidP="002A671A">
            <w:pPr>
              <w:pStyle w:val="ListParagraph"/>
              <w:suppressAutoHyphens/>
              <w:ind w:left="0"/>
              <w:jc w:val="both"/>
              <w:rPr>
                <w:spacing w:val="-2"/>
                <w:sz w:val="22"/>
                <w:szCs w:val="22"/>
              </w:rPr>
            </w:pPr>
            <w:proofErr w:type="spellStart"/>
            <w:r w:rsidRPr="00157202">
              <w:rPr>
                <w:b/>
                <w:sz w:val="22"/>
                <w:szCs w:val="22"/>
              </w:rPr>
              <w:t>Raffu</w:t>
            </w:r>
            <w:proofErr w:type="spellEnd"/>
            <w:r w:rsidRPr="00157202">
              <w:rPr>
                <w:b/>
                <w:sz w:val="22"/>
                <w:szCs w:val="22"/>
              </w:rPr>
              <w:t xml:space="preserve"> Street, 69 Building</w:t>
            </w:r>
            <w:r w:rsidRPr="00157202">
              <w:rPr>
                <w:rFonts w:ascii="regular" w:hAnsi="regular"/>
                <w:sz w:val="21"/>
                <w:szCs w:val="21"/>
                <w:shd w:val="clear" w:color="auto" w:fill="FFFFFF"/>
              </w:rPr>
              <w:t xml:space="preserve"> </w:t>
            </w:r>
            <w:r w:rsidRPr="00157202">
              <w:rPr>
                <w:b/>
                <w:sz w:val="22"/>
                <w:szCs w:val="22"/>
              </w:rPr>
              <w:t>(Malatia-</w:t>
            </w:r>
            <w:proofErr w:type="spellStart"/>
            <w:r w:rsidRPr="00157202">
              <w:rPr>
                <w:b/>
                <w:sz w:val="22"/>
                <w:szCs w:val="22"/>
              </w:rPr>
              <w:t>Sebatia</w:t>
            </w:r>
            <w:proofErr w:type="spellEnd"/>
            <w:r w:rsidRPr="00157202">
              <w:rPr>
                <w:b/>
                <w:sz w:val="22"/>
                <w:szCs w:val="22"/>
              </w:rPr>
              <w:t xml:space="preserve"> administrative district), Yerevan, Armenia;</w:t>
            </w:r>
          </w:p>
        </w:tc>
      </w:tr>
      <w:tr w:rsidR="00617538" w:rsidRPr="00157202" w14:paraId="12299F45" w14:textId="77777777" w:rsidTr="002A671A">
        <w:tc>
          <w:tcPr>
            <w:tcW w:w="828" w:type="dxa"/>
          </w:tcPr>
          <w:p w14:paraId="7617CF15" w14:textId="77777777" w:rsidR="00617538" w:rsidRPr="00157202" w:rsidRDefault="00617538" w:rsidP="002A671A">
            <w:r w:rsidRPr="00157202">
              <w:rPr>
                <w:b/>
                <w:sz w:val="22"/>
                <w:szCs w:val="22"/>
              </w:rPr>
              <w:t>Lot 6:</w:t>
            </w:r>
          </w:p>
        </w:tc>
        <w:tc>
          <w:tcPr>
            <w:tcW w:w="7452" w:type="dxa"/>
          </w:tcPr>
          <w:p w14:paraId="0A7052EA" w14:textId="5D30EA4C" w:rsidR="00617538" w:rsidRPr="00157202" w:rsidRDefault="00617538" w:rsidP="002A671A">
            <w:pPr>
              <w:pStyle w:val="ListParagraph"/>
              <w:suppressAutoHyphens/>
              <w:ind w:left="0"/>
              <w:jc w:val="both"/>
              <w:rPr>
                <w:spacing w:val="-2"/>
                <w:sz w:val="22"/>
                <w:szCs w:val="22"/>
              </w:rPr>
            </w:pPr>
            <w:r w:rsidRPr="00157202">
              <w:rPr>
                <w:b/>
                <w:sz w:val="22"/>
                <w:szCs w:val="22"/>
              </w:rPr>
              <w:t xml:space="preserve">Maisi Inni Street, </w:t>
            </w:r>
            <w:r w:rsidR="00D05F3C">
              <w:rPr>
                <w:b/>
                <w:sz w:val="22"/>
                <w:szCs w:val="22"/>
              </w:rPr>
              <w:t>2</w:t>
            </w:r>
            <w:r w:rsidRPr="00157202">
              <w:rPr>
                <w:b/>
                <w:sz w:val="22"/>
                <w:szCs w:val="22"/>
              </w:rPr>
              <w:t>6 Building (</w:t>
            </w:r>
            <w:proofErr w:type="spellStart"/>
            <w:r w:rsidRPr="00157202">
              <w:rPr>
                <w:b/>
                <w:sz w:val="22"/>
                <w:szCs w:val="22"/>
              </w:rPr>
              <w:t>Shengavit</w:t>
            </w:r>
            <w:proofErr w:type="spellEnd"/>
            <w:r w:rsidRPr="00157202">
              <w:rPr>
                <w:b/>
                <w:sz w:val="22"/>
                <w:szCs w:val="22"/>
              </w:rPr>
              <w:t xml:space="preserve"> administrative district), Yerevan, Armenia; and </w:t>
            </w:r>
          </w:p>
        </w:tc>
      </w:tr>
      <w:tr w:rsidR="00617538" w:rsidRPr="00157202" w14:paraId="4B481171" w14:textId="77777777" w:rsidTr="002A671A">
        <w:tc>
          <w:tcPr>
            <w:tcW w:w="828" w:type="dxa"/>
          </w:tcPr>
          <w:p w14:paraId="61CFDFBF" w14:textId="77777777" w:rsidR="00617538" w:rsidRPr="00157202" w:rsidRDefault="00617538" w:rsidP="002A671A">
            <w:pPr>
              <w:rPr>
                <w:b/>
                <w:sz w:val="22"/>
                <w:szCs w:val="22"/>
              </w:rPr>
            </w:pPr>
            <w:r w:rsidRPr="00157202">
              <w:rPr>
                <w:b/>
                <w:sz w:val="22"/>
                <w:szCs w:val="22"/>
              </w:rPr>
              <w:t>Lot 7:</w:t>
            </w:r>
          </w:p>
        </w:tc>
        <w:tc>
          <w:tcPr>
            <w:tcW w:w="7452" w:type="dxa"/>
          </w:tcPr>
          <w:p w14:paraId="7EC79FBD" w14:textId="77777777" w:rsidR="00617538" w:rsidRPr="00157202" w:rsidRDefault="00617538" w:rsidP="002A671A">
            <w:pPr>
              <w:pStyle w:val="ListParagraph"/>
              <w:suppressAutoHyphens/>
              <w:ind w:left="0"/>
              <w:jc w:val="both"/>
              <w:rPr>
                <w:b/>
                <w:sz w:val="22"/>
                <w:szCs w:val="22"/>
              </w:rPr>
            </w:pPr>
            <w:proofErr w:type="spellStart"/>
            <w:r w:rsidRPr="00157202">
              <w:rPr>
                <w:b/>
                <w:sz w:val="22"/>
                <w:szCs w:val="22"/>
              </w:rPr>
              <w:t>Avanesovi</w:t>
            </w:r>
            <w:proofErr w:type="spellEnd"/>
            <w:r w:rsidRPr="00157202">
              <w:rPr>
                <w:b/>
                <w:sz w:val="22"/>
                <w:szCs w:val="22"/>
              </w:rPr>
              <w:t xml:space="preserve"> Street Lane, 12 Building (</w:t>
            </w:r>
            <w:proofErr w:type="spellStart"/>
            <w:r w:rsidRPr="00157202">
              <w:rPr>
                <w:b/>
                <w:sz w:val="22"/>
                <w:szCs w:val="22"/>
              </w:rPr>
              <w:t>Erebuni</w:t>
            </w:r>
            <w:proofErr w:type="spellEnd"/>
            <w:r w:rsidRPr="00157202">
              <w:rPr>
                <w:b/>
                <w:sz w:val="22"/>
                <w:szCs w:val="22"/>
              </w:rPr>
              <w:t xml:space="preserve"> administrative district), Yerevan, Armenia.</w:t>
            </w:r>
          </w:p>
        </w:tc>
      </w:tr>
      <w:bookmarkEnd w:id="4"/>
    </w:tbl>
    <w:p w14:paraId="26D1F897" w14:textId="77777777" w:rsidR="00617538" w:rsidRDefault="00617538" w:rsidP="00617538">
      <w:pPr>
        <w:pStyle w:val="ListParagraph"/>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ind w:left="360"/>
        <w:jc w:val="both"/>
        <w:rPr>
          <w:b/>
          <w:sz w:val="22"/>
          <w:szCs w:val="22"/>
        </w:rPr>
      </w:pPr>
    </w:p>
    <w:p w14:paraId="603A78D8" w14:textId="77777777" w:rsidR="00617538" w:rsidRDefault="00617538" w:rsidP="00617538">
      <w:pPr>
        <w:pStyle w:val="Header"/>
        <w:pBdr>
          <w:bottom w:val="none" w:sz="0" w:space="0" w:color="auto"/>
        </w:pBd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ind w:left="360"/>
        <w:rPr>
          <w:rFonts w:ascii="Times New Roman" w:hAnsi="Times New Roman"/>
          <w:b/>
          <w:color w:val="0000FF"/>
          <w:sz w:val="22"/>
          <w:szCs w:val="22"/>
        </w:rPr>
      </w:pPr>
      <w:r w:rsidRPr="007D5E4E">
        <w:rPr>
          <w:rFonts w:ascii="Times New Roman" w:hAnsi="Times New Roman"/>
          <w:b/>
          <w:spacing w:val="-2"/>
          <w:sz w:val="22"/>
          <w:szCs w:val="22"/>
        </w:rPr>
        <w:t>The duration of construction works for each lot</w:t>
      </w:r>
      <w:r>
        <w:rPr>
          <w:rFonts w:ascii="Times New Roman" w:hAnsi="Times New Roman"/>
          <w:b/>
          <w:spacing w:val="-2"/>
          <w:sz w:val="22"/>
          <w:szCs w:val="22"/>
          <w:lang w:val="en-US"/>
        </w:rPr>
        <w:t xml:space="preserve"> is</w:t>
      </w:r>
      <w:r w:rsidRPr="007D5E4E">
        <w:rPr>
          <w:rFonts w:ascii="Times New Roman" w:hAnsi="Times New Roman"/>
          <w:b/>
          <w:spacing w:val="-2"/>
          <w:sz w:val="22"/>
          <w:szCs w:val="22"/>
        </w:rPr>
        <w:t>:</w:t>
      </w:r>
      <w:r w:rsidRPr="00B7187C">
        <w:rPr>
          <w:rFonts w:ascii="Times New Roman" w:hAnsi="Times New Roman"/>
          <w:b/>
          <w:sz w:val="22"/>
          <w:szCs w:val="22"/>
        </w:rPr>
        <w:t xml:space="preserve"> </w:t>
      </w:r>
      <w:r w:rsidRPr="00B7187C">
        <w:rPr>
          <w:rFonts w:ascii="Times New Roman" w:hAnsi="Times New Roman"/>
          <w:b/>
          <w:color w:val="0000FF"/>
          <w:sz w:val="22"/>
          <w:szCs w:val="22"/>
        </w:rPr>
        <w:t xml:space="preserve"> </w:t>
      </w:r>
    </w:p>
    <w:tbl>
      <w:tblPr>
        <w:tblW w:w="8280" w:type="dxa"/>
        <w:tblInd w:w="468" w:type="dxa"/>
        <w:tblLook w:val="04A0" w:firstRow="1" w:lastRow="0" w:firstColumn="1" w:lastColumn="0" w:noHBand="0" w:noVBand="1"/>
      </w:tblPr>
      <w:tblGrid>
        <w:gridCol w:w="828"/>
        <w:gridCol w:w="7452"/>
      </w:tblGrid>
      <w:tr w:rsidR="00617538" w:rsidRPr="00157202" w14:paraId="48CB131F" w14:textId="77777777" w:rsidTr="002A671A">
        <w:tc>
          <w:tcPr>
            <w:tcW w:w="828" w:type="dxa"/>
          </w:tcPr>
          <w:p w14:paraId="3E3AD4F4" w14:textId="77777777" w:rsidR="00617538" w:rsidRPr="00157202" w:rsidRDefault="00617538" w:rsidP="002A671A">
            <w:pPr>
              <w:pStyle w:val="ListParagraph"/>
              <w:suppressAutoHyphens/>
              <w:ind w:left="0"/>
              <w:rPr>
                <w:spacing w:val="-2"/>
                <w:sz w:val="22"/>
                <w:szCs w:val="22"/>
              </w:rPr>
            </w:pPr>
            <w:bookmarkStart w:id="5" w:name="_Hlk206060361"/>
            <w:r w:rsidRPr="00157202">
              <w:rPr>
                <w:b/>
                <w:sz w:val="22"/>
                <w:szCs w:val="22"/>
              </w:rPr>
              <w:t>Lot 1:</w:t>
            </w:r>
          </w:p>
        </w:tc>
        <w:tc>
          <w:tcPr>
            <w:tcW w:w="7452" w:type="dxa"/>
          </w:tcPr>
          <w:p w14:paraId="7208705A" w14:textId="77777777" w:rsidR="00617538" w:rsidRPr="00157202" w:rsidRDefault="00617538" w:rsidP="002A671A">
            <w:pPr>
              <w:jc w:val="both"/>
            </w:pPr>
            <w:r w:rsidRPr="00157202">
              <w:rPr>
                <w:b/>
                <w:sz w:val="22"/>
                <w:szCs w:val="22"/>
              </w:rPr>
              <w:t>seventeen (17) months from the commencement of works;</w:t>
            </w:r>
          </w:p>
        </w:tc>
      </w:tr>
      <w:tr w:rsidR="00617538" w:rsidRPr="00157202" w14:paraId="4685703B" w14:textId="77777777" w:rsidTr="002A671A">
        <w:tc>
          <w:tcPr>
            <w:tcW w:w="828" w:type="dxa"/>
          </w:tcPr>
          <w:p w14:paraId="31A971CA" w14:textId="77777777" w:rsidR="00617538" w:rsidRPr="00157202" w:rsidRDefault="00617538" w:rsidP="002A671A">
            <w:r w:rsidRPr="00157202">
              <w:rPr>
                <w:b/>
                <w:sz w:val="22"/>
                <w:szCs w:val="22"/>
              </w:rPr>
              <w:t>Lot 2:</w:t>
            </w:r>
          </w:p>
        </w:tc>
        <w:tc>
          <w:tcPr>
            <w:tcW w:w="7452" w:type="dxa"/>
          </w:tcPr>
          <w:p w14:paraId="4C7F30F1" w14:textId="77777777" w:rsidR="00617538" w:rsidRPr="00157202" w:rsidRDefault="00617538" w:rsidP="002A671A">
            <w:pPr>
              <w:jc w:val="both"/>
            </w:pPr>
            <w:r w:rsidRPr="00157202">
              <w:rPr>
                <w:b/>
                <w:sz w:val="22"/>
                <w:szCs w:val="22"/>
              </w:rPr>
              <w:t>twenty (20) months from the commencement of works;</w:t>
            </w:r>
          </w:p>
        </w:tc>
      </w:tr>
      <w:tr w:rsidR="00617538" w:rsidRPr="00157202" w14:paraId="5C27587A" w14:textId="77777777" w:rsidTr="002A671A">
        <w:tc>
          <w:tcPr>
            <w:tcW w:w="828" w:type="dxa"/>
          </w:tcPr>
          <w:p w14:paraId="082F69BE" w14:textId="77777777" w:rsidR="00617538" w:rsidRPr="00157202" w:rsidRDefault="00617538" w:rsidP="002A671A">
            <w:r w:rsidRPr="00157202">
              <w:rPr>
                <w:b/>
                <w:sz w:val="22"/>
                <w:szCs w:val="22"/>
              </w:rPr>
              <w:t>Lot 3:</w:t>
            </w:r>
          </w:p>
        </w:tc>
        <w:tc>
          <w:tcPr>
            <w:tcW w:w="7452" w:type="dxa"/>
          </w:tcPr>
          <w:p w14:paraId="1DF85D7D" w14:textId="77777777" w:rsidR="00617538" w:rsidRPr="00157202" w:rsidRDefault="00617538" w:rsidP="002A671A">
            <w:pPr>
              <w:jc w:val="both"/>
            </w:pPr>
            <w:r w:rsidRPr="00157202">
              <w:rPr>
                <w:b/>
                <w:sz w:val="22"/>
                <w:szCs w:val="22"/>
              </w:rPr>
              <w:t>twenty (20) months from the commencement of works;</w:t>
            </w:r>
          </w:p>
        </w:tc>
      </w:tr>
      <w:tr w:rsidR="00617538" w:rsidRPr="00157202" w14:paraId="155FF33D" w14:textId="77777777" w:rsidTr="002A671A">
        <w:tc>
          <w:tcPr>
            <w:tcW w:w="828" w:type="dxa"/>
          </w:tcPr>
          <w:p w14:paraId="6C7A38E1" w14:textId="77777777" w:rsidR="00617538" w:rsidRPr="00157202" w:rsidRDefault="00617538" w:rsidP="002A671A">
            <w:r w:rsidRPr="00157202">
              <w:rPr>
                <w:b/>
                <w:sz w:val="22"/>
                <w:szCs w:val="22"/>
              </w:rPr>
              <w:t>Lot 4:</w:t>
            </w:r>
          </w:p>
        </w:tc>
        <w:tc>
          <w:tcPr>
            <w:tcW w:w="7452" w:type="dxa"/>
          </w:tcPr>
          <w:p w14:paraId="27E4F38B" w14:textId="77777777" w:rsidR="00617538" w:rsidRPr="00157202" w:rsidRDefault="00617538" w:rsidP="002A671A">
            <w:pPr>
              <w:jc w:val="both"/>
            </w:pPr>
            <w:r w:rsidRPr="00157202">
              <w:rPr>
                <w:b/>
                <w:sz w:val="22"/>
                <w:szCs w:val="22"/>
              </w:rPr>
              <w:t>seventeen (17) months from the commencement of works;</w:t>
            </w:r>
          </w:p>
        </w:tc>
      </w:tr>
      <w:tr w:rsidR="00617538" w:rsidRPr="00157202" w14:paraId="1A41709B" w14:textId="77777777" w:rsidTr="002A671A">
        <w:tc>
          <w:tcPr>
            <w:tcW w:w="828" w:type="dxa"/>
          </w:tcPr>
          <w:p w14:paraId="1D03398A" w14:textId="77777777" w:rsidR="00617538" w:rsidRPr="00157202" w:rsidRDefault="00617538" w:rsidP="002A671A">
            <w:r w:rsidRPr="00157202">
              <w:rPr>
                <w:b/>
                <w:sz w:val="22"/>
                <w:szCs w:val="22"/>
              </w:rPr>
              <w:t>Lot 5:</w:t>
            </w:r>
          </w:p>
        </w:tc>
        <w:tc>
          <w:tcPr>
            <w:tcW w:w="7452" w:type="dxa"/>
          </w:tcPr>
          <w:p w14:paraId="1FC31676" w14:textId="77777777" w:rsidR="00617538" w:rsidRPr="00157202" w:rsidRDefault="00617538" w:rsidP="002A671A">
            <w:pPr>
              <w:jc w:val="both"/>
            </w:pPr>
            <w:r w:rsidRPr="00157202">
              <w:rPr>
                <w:b/>
                <w:sz w:val="22"/>
                <w:szCs w:val="22"/>
              </w:rPr>
              <w:t>twenty-four (24) months from the commencement of works;</w:t>
            </w:r>
          </w:p>
        </w:tc>
      </w:tr>
      <w:tr w:rsidR="00617538" w:rsidRPr="00157202" w14:paraId="40F0D952" w14:textId="77777777" w:rsidTr="002A671A">
        <w:tc>
          <w:tcPr>
            <w:tcW w:w="828" w:type="dxa"/>
          </w:tcPr>
          <w:p w14:paraId="5B89A593" w14:textId="77777777" w:rsidR="00617538" w:rsidRPr="00157202" w:rsidRDefault="00617538" w:rsidP="002A671A">
            <w:r w:rsidRPr="00157202">
              <w:rPr>
                <w:b/>
                <w:sz w:val="22"/>
                <w:szCs w:val="22"/>
              </w:rPr>
              <w:t>Lot 6:</w:t>
            </w:r>
          </w:p>
        </w:tc>
        <w:tc>
          <w:tcPr>
            <w:tcW w:w="7452" w:type="dxa"/>
          </w:tcPr>
          <w:p w14:paraId="4AA1EC3E" w14:textId="77777777" w:rsidR="00617538" w:rsidRPr="00157202" w:rsidRDefault="00617538" w:rsidP="002A671A">
            <w:pPr>
              <w:jc w:val="both"/>
            </w:pPr>
            <w:r w:rsidRPr="00157202">
              <w:rPr>
                <w:b/>
                <w:sz w:val="22"/>
                <w:szCs w:val="22"/>
              </w:rPr>
              <w:t>twenty-four (24) months from the commencement of works;</w:t>
            </w:r>
          </w:p>
        </w:tc>
      </w:tr>
      <w:tr w:rsidR="00617538" w:rsidRPr="00157202" w14:paraId="5CCBD26E" w14:textId="77777777" w:rsidTr="002A671A">
        <w:tc>
          <w:tcPr>
            <w:tcW w:w="828" w:type="dxa"/>
          </w:tcPr>
          <w:p w14:paraId="72CDED9C" w14:textId="77777777" w:rsidR="00617538" w:rsidRPr="00157202" w:rsidRDefault="00617538" w:rsidP="002A671A">
            <w:pPr>
              <w:rPr>
                <w:b/>
                <w:sz w:val="22"/>
                <w:szCs w:val="22"/>
              </w:rPr>
            </w:pPr>
            <w:r w:rsidRPr="00157202">
              <w:rPr>
                <w:b/>
                <w:sz w:val="22"/>
                <w:szCs w:val="22"/>
              </w:rPr>
              <w:t>Lot 7:</w:t>
            </w:r>
          </w:p>
        </w:tc>
        <w:tc>
          <w:tcPr>
            <w:tcW w:w="7452" w:type="dxa"/>
          </w:tcPr>
          <w:p w14:paraId="61217D2B" w14:textId="77777777" w:rsidR="00617538" w:rsidRPr="00157202" w:rsidRDefault="00617538" w:rsidP="002A671A">
            <w:pPr>
              <w:jc w:val="both"/>
              <w:rPr>
                <w:b/>
                <w:sz w:val="22"/>
                <w:szCs w:val="22"/>
              </w:rPr>
            </w:pPr>
            <w:r w:rsidRPr="00157202">
              <w:rPr>
                <w:b/>
                <w:sz w:val="22"/>
                <w:szCs w:val="22"/>
              </w:rPr>
              <w:t>twenty (20) months from the commencement of works.</w:t>
            </w:r>
          </w:p>
        </w:tc>
      </w:tr>
      <w:bookmarkEnd w:id="5"/>
    </w:tbl>
    <w:p w14:paraId="1254B0D0" w14:textId="77777777" w:rsidR="00617538" w:rsidRPr="007D5E4E" w:rsidRDefault="00617538" w:rsidP="00617538">
      <w:pPr>
        <w:pStyle w:val="Heade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ind w:left="360"/>
        <w:rPr>
          <w:rFonts w:ascii="Times New Roman" w:hAnsi="Times New Roman"/>
          <w:b/>
          <w:color w:val="0000FF"/>
          <w:sz w:val="22"/>
          <w:szCs w:val="22"/>
          <w:lang w:val="en-US"/>
        </w:rPr>
      </w:pPr>
    </w:p>
    <w:p w14:paraId="560FCFC9" w14:textId="77777777" w:rsidR="00617538" w:rsidRPr="00B7187C" w:rsidRDefault="00617538" w:rsidP="00617538">
      <w:pPr>
        <w:pStyle w:val="Header"/>
        <w:pBdr>
          <w:bottom w:val="none" w:sz="0" w:space="0" w:color="auto"/>
        </w:pBd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ind w:left="360"/>
        <w:rPr>
          <w:rFonts w:ascii="Times New Roman" w:hAnsi="Times New Roman"/>
          <w:b/>
          <w:spacing w:val="-2"/>
          <w:sz w:val="22"/>
          <w:szCs w:val="22"/>
        </w:rPr>
      </w:pPr>
      <w:r w:rsidRPr="00B7187C">
        <w:rPr>
          <w:rFonts w:ascii="Times New Roman" w:hAnsi="Times New Roman"/>
          <w:b/>
          <w:spacing w:val="-2"/>
          <w:sz w:val="22"/>
          <w:szCs w:val="22"/>
        </w:rPr>
        <w:t>Qualifications requirements include (but not limited to*):</w:t>
      </w:r>
    </w:p>
    <w:p w14:paraId="37A34303" w14:textId="77777777" w:rsidR="00617538" w:rsidRPr="00B7187C" w:rsidRDefault="00617538" w:rsidP="00617538">
      <w:pPr>
        <w:pStyle w:val="Header"/>
        <w:pBdr>
          <w:bottom w:val="none" w:sz="0" w:space="0" w:color="auto"/>
        </w:pBd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ind w:left="360"/>
        <w:rPr>
          <w:rFonts w:ascii="Times New Roman" w:hAnsi="Times New Roman"/>
          <w:b/>
          <w:spacing w:val="-2"/>
          <w:sz w:val="22"/>
          <w:szCs w:val="22"/>
          <w:u w:val="single"/>
        </w:rPr>
      </w:pPr>
    </w:p>
    <w:p w14:paraId="0D4EA0A3" w14:textId="77777777" w:rsidR="00617538" w:rsidRPr="00157202" w:rsidRDefault="00617538" w:rsidP="00617538">
      <w:pPr>
        <w:pStyle w:val="Header"/>
        <w:pBdr>
          <w:bottom w:val="none" w:sz="0" w:space="0" w:color="auto"/>
        </w:pBd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ind w:left="360"/>
        <w:rPr>
          <w:rFonts w:ascii="Times New Roman" w:hAnsi="Times New Roman"/>
          <w:b/>
          <w:sz w:val="22"/>
          <w:szCs w:val="22"/>
        </w:rPr>
      </w:pPr>
      <w:r w:rsidRPr="00B7187C">
        <w:rPr>
          <w:rFonts w:ascii="Times New Roman" w:hAnsi="Times New Roman"/>
          <w:sz w:val="22"/>
          <w:szCs w:val="22"/>
        </w:rPr>
        <w:t xml:space="preserve">-Minimum average annual construction turnover, calculated as total certified payments received for contracts in progress and/or completed within the </w:t>
      </w:r>
      <w:r w:rsidRPr="00157202">
        <w:rPr>
          <w:rFonts w:ascii="Times New Roman" w:eastAsia="Arial Unicode MS" w:hAnsi="Times New Roman"/>
          <w:bCs/>
          <w:sz w:val="22"/>
          <w:szCs w:val="22"/>
        </w:rPr>
        <w:t xml:space="preserve">last </w:t>
      </w:r>
      <w:r w:rsidRPr="00157202">
        <w:rPr>
          <w:rFonts w:ascii="Times New Roman" w:eastAsia="Arial Unicode MS" w:hAnsi="Times New Roman"/>
          <w:b/>
          <w:sz w:val="22"/>
          <w:szCs w:val="22"/>
        </w:rPr>
        <w:t>five (5) years (20</w:t>
      </w:r>
      <w:r w:rsidRPr="00157202">
        <w:rPr>
          <w:rFonts w:ascii="Times New Roman" w:eastAsia="Arial Unicode MS" w:hAnsi="Times New Roman"/>
          <w:b/>
          <w:sz w:val="22"/>
          <w:szCs w:val="22"/>
          <w:lang w:val="en-US"/>
        </w:rPr>
        <w:t>20</w:t>
      </w:r>
      <w:r w:rsidRPr="00157202">
        <w:rPr>
          <w:rFonts w:ascii="Times New Roman" w:eastAsia="Arial Unicode MS" w:hAnsi="Times New Roman"/>
          <w:b/>
          <w:sz w:val="22"/>
          <w:szCs w:val="22"/>
        </w:rPr>
        <w:t>-202</w:t>
      </w:r>
      <w:r w:rsidRPr="00157202">
        <w:rPr>
          <w:rFonts w:ascii="Times New Roman" w:eastAsia="Arial Unicode MS" w:hAnsi="Times New Roman"/>
          <w:b/>
          <w:sz w:val="22"/>
          <w:szCs w:val="22"/>
          <w:lang w:val="en-US"/>
        </w:rPr>
        <w:t>4</w:t>
      </w:r>
      <w:r w:rsidRPr="00157202">
        <w:rPr>
          <w:rFonts w:ascii="Times New Roman" w:eastAsia="Arial Unicode MS" w:hAnsi="Times New Roman"/>
          <w:b/>
          <w:sz w:val="22"/>
          <w:szCs w:val="22"/>
        </w:rPr>
        <w:t>), divided by five (5)</w:t>
      </w:r>
      <w:r w:rsidRPr="00157202">
        <w:rPr>
          <w:rFonts w:ascii="Times New Roman" w:hAnsi="Times New Roman"/>
          <w:sz w:val="22"/>
          <w:szCs w:val="22"/>
        </w:rPr>
        <w:t xml:space="preserve"> is:</w:t>
      </w:r>
      <w:r w:rsidRPr="00157202">
        <w:rPr>
          <w:rFonts w:ascii="Times New Roman" w:hAnsi="Times New Roman"/>
          <w:b/>
          <w:sz w:val="22"/>
          <w:szCs w:val="22"/>
        </w:rPr>
        <w:t xml:space="preserve"> </w:t>
      </w:r>
    </w:p>
    <w:p w14:paraId="1C7538D3" w14:textId="77777777" w:rsidR="00617538" w:rsidRDefault="00617538" w:rsidP="00617538">
      <w:pPr>
        <w:pStyle w:val="Header"/>
        <w:pBdr>
          <w:bottom w:val="none" w:sz="0" w:space="0" w:color="auto"/>
        </w:pBd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ind w:left="360"/>
        <w:rPr>
          <w:rFonts w:ascii="Times New Roman" w:hAnsi="Times New Roman"/>
          <w:b/>
          <w:sz w:val="22"/>
          <w:szCs w:val="22"/>
        </w:rPr>
      </w:pPr>
    </w:p>
    <w:tbl>
      <w:tblPr>
        <w:tblW w:w="8280" w:type="dxa"/>
        <w:tblInd w:w="468" w:type="dxa"/>
        <w:tblLook w:val="04A0" w:firstRow="1" w:lastRow="0" w:firstColumn="1" w:lastColumn="0" w:noHBand="0" w:noVBand="1"/>
      </w:tblPr>
      <w:tblGrid>
        <w:gridCol w:w="828"/>
        <w:gridCol w:w="7452"/>
      </w:tblGrid>
      <w:tr w:rsidR="00617538" w:rsidRPr="00AE51F0" w14:paraId="4297E1C4" w14:textId="77777777" w:rsidTr="002A671A">
        <w:tc>
          <w:tcPr>
            <w:tcW w:w="828" w:type="dxa"/>
          </w:tcPr>
          <w:p w14:paraId="5811C58D" w14:textId="77777777" w:rsidR="00617538" w:rsidRPr="00387F7F" w:rsidRDefault="00617538" w:rsidP="002A671A">
            <w:pPr>
              <w:pStyle w:val="ListParagraph"/>
              <w:suppressAutoHyphens/>
              <w:ind w:left="0"/>
              <w:rPr>
                <w:spacing w:val="-2"/>
                <w:sz w:val="22"/>
                <w:szCs w:val="22"/>
              </w:rPr>
            </w:pPr>
            <w:bookmarkStart w:id="6" w:name="_Hlk206060653"/>
            <w:r w:rsidRPr="00387F7F">
              <w:rPr>
                <w:b/>
                <w:sz w:val="22"/>
                <w:szCs w:val="22"/>
              </w:rPr>
              <w:t>Lot 1:</w:t>
            </w:r>
          </w:p>
        </w:tc>
        <w:tc>
          <w:tcPr>
            <w:tcW w:w="7452" w:type="dxa"/>
          </w:tcPr>
          <w:p w14:paraId="3CD49654" w14:textId="77777777" w:rsidR="00617538" w:rsidRPr="00157202" w:rsidRDefault="00617538" w:rsidP="002A671A">
            <w:pPr>
              <w:jc w:val="both"/>
            </w:pPr>
            <w:r w:rsidRPr="00157202">
              <w:rPr>
                <w:rFonts w:eastAsia="Arial Unicode MS"/>
                <w:b/>
                <w:sz w:val="22"/>
                <w:szCs w:val="22"/>
              </w:rPr>
              <w:t xml:space="preserve">AMD </w:t>
            </w:r>
            <w:r w:rsidRPr="00157202">
              <w:rPr>
                <w:rFonts w:eastAsia="Arial Unicode MS"/>
                <w:b/>
                <w:sz w:val="22"/>
                <w:szCs w:val="22"/>
                <w:lang w:val="hy-AM"/>
              </w:rPr>
              <w:t>8</w:t>
            </w:r>
            <w:r>
              <w:rPr>
                <w:rFonts w:eastAsia="Arial Unicode MS"/>
                <w:b/>
                <w:sz w:val="22"/>
                <w:szCs w:val="22"/>
              </w:rPr>
              <w:t>38</w:t>
            </w:r>
            <w:r w:rsidRPr="00157202">
              <w:rPr>
                <w:rFonts w:eastAsia="Arial Unicode MS"/>
                <w:b/>
                <w:sz w:val="22"/>
                <w:szCs w:val="22"/>
              </w:rPr>
              <w:t>,000,000 (</w:t>
            </w:r>
            <w:r w:rsidRPr="00157202">
              <w:rPr>
                <w:b/>
                <w:sz w:val="22"/>
                <w:szCs w:val="22"/>
              </w:rPr>
              <w:t>or its equivalent in EUR or USD</w:t>
            </w:r>
            <w:r w:rsidRPr="00157202">
              <w:rPr>
                <w:rFonts w:eastAsia="Arial Unicode MS"/>
                <w:b/>
                <w:sz w:val="22"/>
                <w:szCs w:val="22"/>
              </w:rPr>
              <w:t>)</w:t>
            </w:r>
            <w:r w:rsidRPr="00157202">
              <w:rPr>
                <w:b/>
                <w:sz w:val="22"/>
                <w:szCs w:val="22"/>
              </w:rPr>
              <w:t>;</w:t>
            </w:r>
          </w:p>
        </w:tc>
      </w:tr>
      <w:tr w:rsidR="00617538" w:rsidRPr="00AE51F0" w14:paraId="64485950" w14:textId="77777777" w:rsidTr="002A671A">
        <w:tc>
          <w:tcPr>
            <w:tcW w:w="828" w:type="dxa"/>
          </w:tcPr>
          <w:p w14:paraId="57BD0075" w14:textId="77777777" w:rsidR="00617538" w:rsidRPr="00052D2A" w:rsidRDefault="00617538" w:rsidP="002A671A">
            <w:r w:rsidRPr="00052D2A">
              <w:rPr>
                <w:b/>
                <w:sz w:val="22"/>
                <w:szCs w:val="22"/>
              </w:rPr>
              <w:t>Lot 2:</w:t>
            </w:r>
          </w:p>
        </w:tc>
        <w:tc>
          <w:tcPr>
            <w:tcW w:w="7452" w:type="dxa"/>
          </w:tcPr>
          <w:p w14:paraId="08C763B2" w14:textId="77777777" w:rsidR="00617538" w:rsidRPr="00157202" w:rsidRDefault="00617538" w:rsidP="002A671A">
            <w:pPr>
              <w:jc w:val="both"/>
            </w:pPr>
            <w:r w:rsidRPr="00157202">
              <w:rPr>
                <w:rFonts w:eastAsia="Arial Unicode MS"/>
                <w:b/>
                <w:sz w:val="22"/>
                <w:szCs w:val="22"/>
              </w:rPr>
              <w:t>AMD 7</w:t>
            </w:r>
            <w:r>
              <w:rPr>
                <w:rFonts w:eastAsia="Arial Unicode MS"/>
                <w:b/>
                <w:sz w:val="22"/>
                <w:szCs w:val="22"/>
              </w:rPr>
              <w:t>54</w:t>
            </w:r>
            <w:r w:rsidRPr="00157202">
              <w:rPr>
                <w:rFonts w:eastAsia="Arial Unicode MS"/>
                <w:b/>
                <w:sz w:val="22"/>
                <w:szCs w:val="22"/>
              </w:rPr>
              <w:t>,000,000 (</w:t>
            </w:r>
            <w:r w:rsidRPr="00157202">
              <w:rPr>
                <w:b/>
                <w:sz w:val="22"/>
                <w:szCs w:val="22"/>
              </w:rPr>
              <w:t>or its equivalent in EUR or USD</w:t>
            </w:r>
            <w:r w:rsidRPr="00157202">
              <w:rPr>
                <w:rFonts w:eastAsia="Arial Unicode MS"/>
                <w:b/>
                <w:sz w:val="22"/>
                <w:szCs w:val="22"/>
              </w:rPr>
              <w:t>)</w:t>
            </w:r>
            <w:r w:rsidRPr="00157202">
              <w:rPr>
                <w:b/>
                <w:sz w:val="22"/>
                <w:szCs w:val="22"/>
              </w:rPr>
              <w:t>;</w:t>
            </w:r>
          </w:p>
        </w:tc>
      </w:tr>
      <w:tr w:rsidR="00617538" w:rsidRPr="00AE51F0" w14:paraId="31FC252F" w14:textId="77777777" w:rsidTr="002A671A">
        <w:tc>
          <w:tcPr>
            <w:tcW w:w="828" w:type="dxa"/>
          </w:tcPr>
          <w:p w14:paraId="46972E00" w14:textId="77777777" w:rsidR="00617538" w:rsidRPr="003C5574" w:rsidRDefault="00617538" w:rsidP="002A671A">
            <w:r w:rsidRPr="003C5574">
              <w:rPr>
                <w:b/>
                <w:sz w:val="22"/>
                <w:szCs w:val="22"/>
              </w:rPr>
              <w:t>Lot 3:</w:t>
            </w:r>
          </w:p>
        </w:tc>
        <w:tc>
          <w:tcPr>
            <w:tcW w:w="7452" w:type="dxa"/>
          </w:tcPr>
          <w:p w14:paraId="30CC8AF8" w14:textId="77777777" w:rsidR="00617538" w:rsidRPr="00157202" w:rsidRDefault="00617538" w:rsidP="002A671A">
            <w:pPr>
              <w:jc w:val="both"/>
            </w:pPr>
            <w:r w:rsidRPr="00157202">
              <w:rPr>
                <w:rFonts w:eastAsia="Arial Unicode MS"/>
                <w:b/>
                <w:sz w:val="22"/>
                <w:szCs w:val="22"/>
              </w:rPr>
              <w:t>AMD 7</w:t>
            </w:r>
            <w:r>
              <w:rPr>
                <w:rFonts w:eastAsia="Arial Unicode MS"/>
                <w:b/>
                <w:sz w:val="22"/>
                <w:szCs w:val="22"/>
              </w:rPr>
              <w:t>42</w:t>
            </w:r>
            <w:r w:rsidRPr="00157202">
              <w:rPr>
                <w:rFonts w:eastAsia="Arial Unicode MS"/>
                <w:b/>
                <w:sz w:val="22"/>
                <w:szCs w:val="22"/>
              </w:rPr>
              <w:t>,000,000 (</w:t>
            </w:r>
            <w:r w:rsidRPr="00157202">
              <w:rPr>
                <w:b/>
                <w:sz w:val="22"/>
                <w:szCs w:val="22"/>
              </w:rPr>
              <w:t>or its equivalent in EUR or USD</w:t>
            </w:r>
            <w:r w:rsidRPr="00157202">
              <w:rPr>
                <w:rFonts w:eastAsia="Arial Unicode MS"/>
                <w:b/>
                <w:sz w:val="22"/>
                <w:szCs w:val="22"/>
              </w:rPr>
              <w:t>)</w:t>
            </w:r>
            <w:r w:rsidRPr="00157202">
              <w:rPr>
                <w:b/>
                <w:sz w:val="22"/>
                <w:szCs w:val="22"/>
              </w:rPr>
              <w:t>;</w:t>
            </w:r>
          </w:p>
        </w:tc>
      </w:tr>
      <w:tr w:rsidR="00617538" w:rsidRPr="00AE51F0" w14:paraId="24BE8F3E" w14:textId="77777777" w:rsidTr="002A671A">
        <w:tc>
          <w:tcPr>
            <w:tcW w:w="828" w:type="dxa"/>
          </w:tcPr>
          <w:p w14:paraId="312B54CA" w14:textId="77777777" w:rsidR="00617538" w:rsidRPr="003C5574" w:rsidRDefault="00617538" w:rsidP="002A671A">
            <w:r w:rsidRPr="003C5574">
              <w:rPr>
                <w:b/>
                <w:sz w:val="22"/>
                <w:szCs w:val="22"/>
              </w:rPr>
              <w:t>Lot 4:</w:t>
            </w:r>
          </w:p>
        </w:tc>
        <w:tc>
          <w:tcPr>
            <w:tcW w:w="7452" w:type="dxa"/>
          </w:tcPr>
          <w:p w14:paraId="6660A59E" w14:textId="77777777" w:rsidR="00617538" w:rsidRPr="00157202" w:rsidRDefault="00617538" w:rsidP="002A671A">
            <w:pPr>
              <w:jc w:val="both"/>
            </w:pPr>
            <w:r w:rsidRPr="00157202">
              <w:rPr>
                <w:rFonts w:eastAsia="Arial Unicode MS"/>
                <w:b/>
                <w:sz w:val="22"/>
                <w:szCs w:val="22"/>
              </w:rPr>
              <w:t xml:space="preserve">AMD </w:t>
            </w:r>
            <w:r w:rsidRPr="00157202">
              <w:rPr>
                <w:rFonts w:eastAsia="Arial Unicode MS"/>
                <w:b/>
                <w:sz w:val="22"/>
                <w:szCs w:val="22"/>
                <w:lang w:val="hy-AM"/>
              </w:rPr>
              <w:t>6</w:t>
            </w:r>
            <w:r>
              <w:rPr>
                <w:rFonts w:eastAsia="Arial Unicode MS"/>
                <w:b/>
                <w:sz w:val="22"/>
                <w:szCs w:val="22"/>
              </w:rPr>
              <w:t>73</w:t>
            </w:r>
            <w:r w:rsidRPr="00157202">
              <w:rPr>
                <w:rFonts w:eastAsia="Arial Unicode MS"/>
                <w:b/>
                <w:sz w:val="22"/>
                <w:szCs w:val="22"/>
              </w:rPr>
              <w:t>,000,000 (</w:t>
            </w:r>
            <w:r w:rsidRPr="00157202">
              <w:rPr>
                <w:b/>
                <w:sz w:val="22"/>
                <w:szCs w:val="22"/>
              </w:rPr>
              <w:t>or its equivalent in EUR or USD</w:t>
            </w:r>
            <w:r w:rsidRPr="00157202">
              <w:rPr>
                <w:rFonts w:eastAsia="Arial Unicode MS"/>
                <w:b/>
                <w:sz w:val="22"/>
                <w:szCs w:val="22"/>
              </w:rPr>
              <w:t>)</w:t>
            </w:r>
            <w:r w:rsidRPr="00157202">
              <w:rPr>
                <w:b/>
                <w:sz w:val="22"/>
                <w:szCs w:val="22"/>
              </w:rPr>
              <w:t>;</w:t>
            </w:r>
          </w:p>
        </w:tc>
      </w:tr>
      <w:tr w:rsidR="00617538" w:rsidRPr="00AE51F0" w14:paraId="46A06B0A" w14:textId="77777777" w:rsidTr="002A671A">
        <w:tc>
          <w:tcPr>
            <w:tcW w:w="828" w:type="dxa"/>
          </w:tcPr>
          <w:p w14:paraId="3D8A0621" w14:textId="77777777" w:rsidR="00617538" w:rsidRPr="00EB7892" w:rsidRDefault="00617538" w:rsidP="002A671A">
            <w:r w:rsidRPr="00EB7892">
              <w:rPr>
                <w:b/>
                <w:sz w:val="22"/>
                <w:szCs w:val="22"/>
              </w:rPr>
              <w:t>Lot 5:</w:t>
            </w:r>
          </w:p>
        </w:tc>
        <w:tc>
          <w:tcPr>
            <w:tcW w:w="7452" w:type="dxa"/>
          </w:tcPr>
          <w:p w14:paraId="7319FA33" w14:textId="77777777" w:rsidR="00617538" w:rsidRPr="00157202" w:rsidRDefault="00617538" w:rsidP="002A671A">
            <w:pPr>
              <w:jc w:val="both"/>
            </w:pPr>
            <w:r w:rsidRPr="00157202">
              <w:rPr>
                <w:rFonts w:eastAsia="Arial Unicode MS"/>
                <w:b/>
                <w:sz w:val="22"/>
                <w:szCs w:val="22"/>
              </w:rPr>
              <w:t>AMD 6</w:t>
            </w:r>
            <w:r>
              <w:rPr>
                <w:rFonts w:eastAsia="Arial Unicode MS"/>
                <w:b/>
                <w:sz w:val="22"/>
                <w:szCs w:val="22"/>
              </w:rPr>
              <w:t>61</w:t>
            </w:r>
            <w:r w:rsidRPr="00157202">
              <w:rPr>
                <w:rFonts w:eastAsia="Arial Unicode MS"/>
                <w:b/>
                <w:sz w:val="22"/>
                <w:szCs w:val="22"/>
              </w:rPr>
              <w:t>,000,000 (</w:t>
            </w:r>
            <w:r w:rsidRPr="00157202">
              <w:rPr>
                <w:b/>
                <w:sz w:val="22"/>
                <w:szCs w:val="22"/>
              </w:rPr>
              <w:t>or its equivalent in EUR or USD</w:t>
            </w:r>
            <w:r w:rsidRPr="00157202">
              <w:rPr>
                <w:rFonts w:eastAsia="Arial Unicode MS"/>
                <w:b/>
                <w:sz w:val="22"/>
                <w:szCs w:val="22"/>
              </w:rPr>
              <w:t>)</w:t>
            </w:r>
            <w:r w:rsidRPr="00157202">
              <w:rPr>
                <w:b/>
                <w:sz w:val="22"/>
                <w:szCs w:val="22"/>
              </w:rPr>
              <w:t>;</w:t>
            </w:r>
          </w:p>
        </w:tc>
      </w:tr>
      <w:tr w:rsidR="00617538" w:rsidRPr="00AE51F0" w14:paraId="1FF82F84" w14:textId="77777777" w:rsidTr="002A671A">
        <w:tc>
          <w:tcPr>
            <w:tcW w:w="828" w:type="dxa"/>
          </w:tcPr>
          <w:p w14:paraId="133749DC" w14:textId="77777777" w:rsidR="00617538" w:rsidRPr="00476642" w:rsidRDefault="00617538" w:rsidP="002A671A">
            <w:r w:rsidRPr="00476642">
              <w:rPr>
                <w:b/>
                <w:sz w:val="22"/>
                <w:szCs w:val="22"/>
              </w:rPr>
              <w:t>Lot 6:</w:t>
            </w:r>
          </w:p>
        </w:tc>
        <w:tc>
          <w:tcPr>
            <w:tcW w:w="7452" w:type="dxa"/>
          </w:tcPr>
          <w:p w14:paraId="4B192DA0" w14:textId="77777777" w:rsidR="00617538" w:rsidRPr="00157202" w:rsidRDefault="00617538" w:rsidP="002A671A">
            <w:pPr>
              <w:jc w:val="both"/>
              <w:rPr>
                <w:lang w:val="hy-AM"/>
              </w:rPr>
            </w:pPr>
            <w:r w:rsidRPr="00157202">
              <w:rPr>
                <w:rFonts w:eastAsia="Arial Unicode MS"/>
                <w:b/>
                <w:sz w:val="22"/>
                <w:szCs w:val="22"/>
              </w:rPr>
              <w:t>AMD 5</w:t>
            </w:r>
            <w:r>
              <w:rPr>
                <w:rFonts w:eastAsia="Arial Unicode MS"/>
                <w:b/>
                <w:sz w:val="22"/>
                <w:szCs w:val="22"/>
              </w:rPr>
              <w:t>77</w:t>
            </w:r>
            <w:r w:rsidRPr="00157202">
              <w:rPr>
                <w:rFonts w:eastAsia="Arial Unicode MS"/>
                <w:b/>
                <w:sz w:val="22"/>
                <w:szCs w:val="22"/>
              </w:rPr>
              <w:t>,000,000 (</w:t>
            </w:r>
            <w:r w:rsidRPr="00157202">
              <w:rPr>
                <w:b/>
                <w:sz w:val="22"/>
                <w:szCs w:val="22"/>
              </w:rPr>
              <w:t>or its equivalent in EUR or USD</w:t>
            </w:r>
            <w:r w:rsidRPr="00157202">
              <w:rPr>
                <w:rFonts w:eastAsia="Arial Unicode MS"/>
                <w:b/>
                <w:sz w:val="22"/>
                <w:szCs w:val="22"/>
              </w:rPr>
              <w:t>);</w:t>
            </w:r>
          </w:p>
        </w:tc>
      </w:tr>
      <w:tr w:rsidR="00617538" w:rsidRPr="00AE51F0" w14:paraId="6CDEBB51" w14:textId="77777777" w:rsidTr="002A671A">
        <w:tc>
          <w:tcPr>
            <w:tcW w:w="828" w:type="dxa"/>
          </w:tcPr>
          <w:p w14:paraId="0F438D02" w14:textId="77777777" w:rsidR="00617538" w:rsidRPr="00C56B0C" w:rsidRDefault="00617538" w:rsidP="002A671A">
            <w:pPr>
              <w:rPr>
                <w:b/>
                <w:sz w:val="22"/>
                <w:szCs w:val="22"/>
              </w:rPr>
            </w:pPr>
            <w:r w:rsidRPr="00C56B0C">
              <w:rPr>
                <w:b/>
                <w:sz w:val="22"/>
                <w:szCs w:val="22"/>
              </w:rPr>
              <w:t>Lot 7:</w:t>
            </w:r>
          </w:p>
        </w:tc>
        <w:tc>
          <w:tcPr>
            <w:tcW w:w="7452" w:type="dxa"/>
          </w:tcPr>
          <w:p w14:paraId="2D854617" w14:textId="77777777" w:rsidR="00617538" w:rsidRPr="00157202" w:rsidRDefault="00617538" w:rsidP="002A671A">
            <w:pPr>
              <w:jc w:val="both"/>
              <w:rPr>
                <w:rFonts w:eastAsia="Arial Unicode MS"/>
                <w:b/>
                <w:sz w:val="22"/>
                <w:szCs w:val="22"/>
              </w:rPr>
            </w:pPr>
            <w:r w:rsidRPr="00157202">
              <w:rPr>
                <w:rFonts w:eastAsia="Arial Unicode MS"/>
                <w:b/>
                <w:sz w:val="22"/>
                <w:szCs w:val="22"/>
              </w:rPr>
              <w:t>AMD 6</w:t>
            </w:r>
            <w:r>
              <w:rPr>
                <w:rFonts w:eastAsia="Arial Unicode MS"/>
                <w:b/>
                <w:sz w:val="22"/>
                <w:szCs w:val="22"/>
              </w:rPr>
              <w:t>85</w:t>
            </w:r>
            <w:r w:rsidRPr="00157202">
              <w:rPr>
                <w:rFonts w:eastAsia="Arial Unicode MS"/>
                <w:b/>
                <w:sz w:val="22"/>
                <w:szCs w:val="22"/>
              </w:rPr>
              <w:t>,000,000 (</w:t>
            </w:r>
            <w:r w:rsidRPr="00157202">
              <w:rPr>
                <w:b/>
                <w:sz w:val="22"/>
                <w:szCs w:val="22"/>
              </w:rPr>
              <w:t>or its equivalent in EUR or USD</w:t>
            </w:r>
            <w:r w:rsidRPr="00157202">
              <w:rPr>
                <w:rFonts w:eastAsia="Arial Unicode MS"/>
                <w:b/>
                <w:sz w:val="22"/>
                <w:szCs w:val="22"/>
              </w:rPr>
              <w:t>)</w:t>
            </w:r>
            <w:r>
              <w:rPr>
                <w:rFonts w:eastAsia="Arial Unicode MS"/>
                <w:b/>
                <w:sz w:val="22"/>
                <w:szCs w:val="22"/>
              </w:rPr>
              <w:t>.</w:t>
            </w:r>
          </w:p>
        </w:tc>
      </w:tr>
      <w:bookmarkEnd w:id="6"/>
    </w:tbl>
    <w:p w14:paraId="37C4FFE6" w14:textId="77777777" w:rsidR="00617538" w:rsidRDefault="00617538" w:rsidP="00617538">
      <w:pPr>
        <w:pStyle w:val="Header"/>
        <w:pBdr>
          <w:bottom w:val="none" w:sz="0" w:space="0" w:color="auto"/>
        </w:pBd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ind w:left="360"/>
        <w:rPr>
          <w:rFonts w:ascii="Times New Roman" w:hAnsi="Times New Roman"/>
          <w:b/>
          <w:sz w:val="22"/>
          <w:szCs w:val="22"/>
          <w:lang w:val="en-US"/>
        </w:rPr>
      </w:pPr>
    </w:p>
    <w:p w14:paraId="1B99DC92" w14:textId="77777777" w:rsidR="00617538" w:rsidRDefault="00617538" w:rsidP="00617538">
      <w:pPr>
        <w:pStyle w:val="Header"/>
        <w:pBdr>
          <w:bottom w:val="none" w:sz="0" w:space="0" w:color="auto"/>
        </w:pBd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ind w:left="360"/>
        <w:rPr>
          <w:rFonts w:ascii="Times New Roman" w:hAnsi="Times New Roman"/>
          <w:b/>
          <w:sz w:val="22"/>
          <w:szCs w:val="22"/>
        </w:rPr>
      </w:pPr>
      <w:r w:rsidRPr="00B7187C">
        <w:rPr>
          <w:rFonts w:ascii="Times New Roman" w:hAnsi="Times New Roman"/>
          <w:sz w:val="22"/>
          <w:szCs w:val="22"/>
        </w:rPr>
        <w:t>-The Bidder shall demonstrate that it has access to, or has available, liquid assets, unencumbered real assets, lines of credit, and other financial means (independent of any contractual advance payment) sufficient to meet the construction cash flow requirements estimated as:</w:t>
      </w:r>
      <w:r w:rsidRPr="00B7187C">
        <w:rPr>
          <w:rFonts w:ascii="Times New Roman" w:hAnsi="Times New Roman"/>
          <w:b/>
          <w:sz w:val="22"/>
          <w:szCs w:val="22"/>
        </w:rPr>
        <w:t xml:space="preserve"> </w:t>
      </w:r>
    </w:p>
    <w:p w14:paraId="78AF817C" w14:textId="77777777" w:rsidR="00617538" w:rsidRDefault="00617538" w:rsidP="00617538">
      <w:pPr>
        <w:pStyle w:val="Header"/>
        <w:pBdr>
          <w:bottom w:val="none" w:sz="0" w:space="0" w:color="auto"/>
        </w:pBd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ind w:left="360"/>
        <w:rPr>
          <w:rFonts w:ascii="Times New Roman" w:hAnsi="Times New Roman"/>
          <w:b/>
          <w:sz w:val="22"/>
          <w:szCs w:val="22"/>
        </w:rPr>
      </w:pPr>
    </w:p>
    <w:tbl>
      <w:tblPr>
        <w:tblW w:w="8280" w:type="dxa"/>
        <w:tblInd w:w="468" w:type="dxa"/>
        <w:tblLook w:val="04A0" w:firstRow="1" w:lastRow="0" w:firstColumn="1" w:lastColumn="0" w:noHBand="0" w:noVBand="1"/>
      </w:tblPr>
      <w:tblGrid>
        <w:gridCol w:w="828"/>
        <w:gridCol w:w="7452"/>
      </w:tblGrid>
      <w:tr w:rsidR="00617538" w:rsidRPr="00F731DB" w14:paraId="15B0D0B0" w14:textId="77777777" w:rsidTr="002A671A">
        <w:tc>
          <w:tcPr>
            <w:tcW w:w="828" w:type="dxa"/>
          </w:tcPr>
          <w:p w14:paraId="000777F3" w14:textId="77777777" w:rsidR="00617538" w:rsidRPr="00F731DB" w:rsidRDefault="00617538" w:rsidP="002A671A">
            <w:pPr>
              <w:pStyle w:val="ListParagraph"/>
              <w:suppressAutoHyphens/>
              <w:ind w:left="0"/>
              <w:rPr>
                <w:spacing w:val="-2"/>
                <w:sz w:val="22"/>
                <w:szCs w:val="22"/>
              </w:rPr>
            </w:pPr>
            <w:bookmarkStart w:id="7" w:name="_Hlk206061007"/>
            <w:r w:rsidRPr="00F731DB">
              <w:rPr>
                <w:b/>
                <w:sz w:val="22"/>
                <w:szCs w:val="22"/>
              </w:rPr>
              <w:t>Lot 1:</w:t>
            </w:r>
          </w:p>
        </w:tc>
        <w:tc>
          <w:tcPr>
            <w:tcW w:w="7452" w:type="dxa"/>
          </w:tcPr>
          <w:p w14:paraId="3991492B" w14:textId="77777777" w:rsidR="00617538" w:rsidRPr="00F731DB" w:rsidRDefault="00617538" w:rsidP="002A671A">
            <w:pPr>
              <w:jc w:val="both"/>
            </w:pPr>
            <w:r w:rsidRPr="00F731DB">
              <w:rPr>
                <w:rFonts w:eastAsia="Arial Unicode MS"/>
                <w:b/>
                <w:sz w:val="22"/>
                <w:szCs w:val="22"/>
              </w:rPr>
              <w:t>AMD 1</w:t>
            </w:r>
            <w:r>
              <w:rPr>
                <w:rFonts w:eastAsia="Arial Unicode MS"/>
                <w:b/>
                <w:sz w:val="22"/>
                <w:szCs w:val="22"/>
              </w:rPr>
              <w:t>86</w:t>
            </w:r>
            <w:r w:rsidRPr="00F731DB">
              <w:rPr>
                <w:rFonts w:eastAsia="Arial Unicode MS"/>
                <w:b/>
                <w:sz w:val="22"/>
                <w:szCs w:val="22"/>
              </w:rPr>
              <w:t>,000,000.00 (</w:t>
            </w:r>
            <w:r w:rsidRPr="00F731DB">
              <w:rPr>
                <w:b/>
                <w:sz w:val="22"/>
                <w:szCs w:val="22"/>
              </w:rPr>
              <w:t>or its equivalent in EUR or USD</w:t>
            </w:r>
            <w:r w:rsidRPr="00F731DB">
              <w:rPr>
                <w:rFonts w:eastAsia="Arial Unicode MS"/>
                <w:b/>
                <w:sz w:val="22"/>
                <w:szCs w:val="22"/>
              </w:rPr>
              <w:t xml:space="preserve">) </w:t>
            </w:r>
            <w:r w:rsidRPr="00F731DB">
              <w:rPr>
                <w:b/>
                <w:sz w:val="22"/>
                <w:szCs w:val="22"/>
              </w:rPr>
              <w:t>net of the Bidder’s other commitments;</w:t>
            </w:r>
          </w:p>
        </w:tc>
      </w:tr>
      <w:tr w:rsidR="00617538" w:rsidRPr="00F731DB" w14:paraId="2EB3B69D" w14:textId="77777777" w:rsidTr="002A671A">
        <w:tc>
          <w:tcPr>
            <w:tcW w:w="828" w:type="dxa"/>
          </w:tcPr>
          <w:p w14:paraId="3B42BDCA" w14:textId="77777777" w:rsidR="00617538" w:rsidRPr="00F731DB" w:rsidRDefault="00617538" w:rsidP="002A671A">
            <w:r w:rsidRPr="00F731DB">
              <w:rPr>
                <w:b/>
                <w:sz w:val="22"/>
                <w:szCs w:val="22"/>
              </w:rPr>
              <w:t>Lot 2:</w:t>
            </w:r>
          </w:p>
        </w:tc>
        <w:tc>
          <w:tcPr>
            <w:tcW w:w="7452" w:type="dxa"/>
          </w:tcPr>
          <w:p w14:paraId="0A77BDA9" w14:textId="77777777" w:rsidR="00617538" w:rsidRPr="00F731DB" w:rsidRDefault="00617538" w:rsidP="002A671A">
            <w:pPr>
              <w:jc w:val="both"/>
            </w:pPr>
            <w:r w:rsidRPr="00F731DB">
              <w:rPr>
                <w:rFonts w:eastAsia="Arial Unicode MS"/>
                <w:b/>
                <w:sz w:val="22"/>
                <w:szCs w:val="22"/>
              </w:rPr>
              <w:t>AMD 14</w:t>
            </w:r>
            <w:r>
              <w:rPr>
                <w:rFonts w:eastAsia="Arial Unicode MS"/>
                <w:b/>
                <w:sz w:val="22"/>
                <w:szCs w:val="22"/>
              </w:rPr>
              <w:t>0</w:t>
            </w:r>
            <w:r w:rsidRPr="00F731DB">
              <w:rPr>
                <w:rFonts w:eastAsia="Arial Unicode MS"/>
                <w:b/>
                <w:sz w:val="22"/>
                <w:szCs w:val="22"/>
              </w:rPr>
              <w:t>,</w:t>
            </w:r>
            <w:r>
              <w:rPr>
                <w:rFonts w:eastAsia="Arial Unicode MS"/>
                <w:b/>
                <w:sz w:val="22"/>
                <w:szCs w:val="22"/>
              </w:rPr>
              <w:t>0</w:t>
            </w:r>
            <w:r w:rsidRPr="00F731DB">
              <w:rPr>
                <w:rFonts w:eastAsia="Arial Unicode MS"/>
                <w:b/>
                <w:sz w:val="22"/>
                <w:szCs w:val="22"/>
              </w:rPr>
              <w:t>00,000.00 (</w:t>
            </w:r>
            <w:r w:rsidRPr="00F731DB">
              <w:rPr>
                <w:b/>
                <w:sz w:val="22"/>
                <w:szCs w:val="22"/>
              </w:rPr>
              <w:t>or its equivalent in EUR or USD</w:t>
            </w:r>
            <w:r w:rsidRPr="00F731DB">
              <w:rPr>
                <w:rFonts w:eastAsia="Arial Unicode MS"/>
                <w:b/>
                <w:sz w:val="22"/>
                <w:szCs w:val="22"/>
              </w:rPr>
              <w:t xml:space="preserve">) </w:t>
            </w:r>
            <w:r w:rsidRPr="00F731DB">
              <w:rPr>
                <w:b/>
                <w:sz w:val="22"/>
                <w:szCs w:val="22"/>
              </w:rPr>
              <w:t>net of the Bidder’s other commitments;</w:t>
            </w:r>
          </w:p>
        </w:tc>
      </w:tr>
      <w:tr w:rsidR="00617538" w:rsidRPr="00F731DB" w14:paraId="32B71535" w14:textId="77777777" w:rsidTr="002A671A">
        <w:tc>
          <w:tcPr>
            <w:tcW w:w="828" w:type="dxa"/>
          </w:tcPr>
          <w:p w14:paraId="3F71840B" w14:textId="77777777" w:rsidR="00617538" w:rsidRPr="00F731DB" w:rsidRDefault="00617538" w:rsidP="002A671A">
            <w:r w:rsidRPr="00F731DB">
              <w:rPr>
                <w:b/>
                <w:sz w:val="22"/>
                <w:szCs w:val="22"/>
              </w:rPr>
              <w:t>Lot 3:</w:t>
            </w:r>
          </w:p>
        </w:tc>
        <w:tc>
          <w:tcPr>
            <w:tcW w:w="7452" w:type="dxa"/>
          </w:tcPr>
          <w:p w14:paraId="00E38021" w14:textId="77777777" w:rsidR="00617538" w:rsidRPr="00F731DB" w:rsidRDefault="00617538" w:rsidP="002A671A">
            <w:pPr>
              <w:jc w:val="both"/>
            </w:pPr>
            <w:r w:rsidRPr="00F731DB">
              <w:rPr>
                <w:rFonts w:eastAsia="Arial Unicode MS"/>
                <w:b/>
                <w:sz w:val="22"/>
                <w:szCs w:val="22"/>
              </w:rPr>
              <w:t>AMD 1</w:t>
            </w:r>
            <w:r>
              <w:rPr>
                <w:rFonts w:eastAsia="Arial Unicode MS"/>
                <w:b/>
                <w:sz w:val="22"/>
                <w:szCs w:val="22"/>
              </w:rPr>
              <w:t>37</w:t>
            </w:r>
            <w:r w:rsidRPr="00F731DB">
              <w:rPr>
                <w:rFonts w:eastAsia="Arial Unicode MS"/>
                <w:b/>
                <w:sz w:val="22"/>
                <w:szCs w:val="22"/>
              </w:rPr>
              <w:t>,</w:t>
            </w:r>
            <w:r>
              <w:rPr>
                <w:rFonts w:eastAsia="Arial Unicode MS"/>
                <w:b/>
                <w:sz w:val="22"/>
                <w:szCs w:val="22"/>
              </w:rPr>
              <w:t>4</w:t>
            </w:r>
            <w:r w:rsidRPr="00F731DB">
              <w:rPr>
                <w:rFonts w:eastAsia="Arial Unicode MS"/>
                <w:b/>
                <w:sz w:val="22"/>
                <w:szCs w:val="22"/>
              </w:rPr>
              <w:t>00,000.00 (</w:t>
            </w:r>
            <w:r w:rsidRPr="00F731DB">
              <w:rPr>
                <w:b/>
                <w:sz w:val="22"/>
                <w:szCs w:val="22"/>
              </w:rPr>
              <w:t>or its equivalent in EUR or USD</w:t>
            </w:r>
            <w:r w:rsidRPr="00F731DB">
              <w:rPr>
                <w:rFonts w:eastAsia="Arial Unicode MS"/>
                <w:b/>
                <w:sz w:val="22"/>
                <w:szCs w:val="22"/>
              </w:rPr>
              <w:t xml:space="preserve">) </w:t>
            </w:r>
            <w:r w:rsidRPr="00F731DB">
              <w:rPr>
                <w:b/>
                <w:sz w:val="22"/>
                <w:szCs w:val="22"/>
              </w:rPr>
              <w:t>net of the Bidder’s other commitments;</w:t>
            </w:r>
          </w:p>
        </w:tc>
      </w:tr>
      <w:tr w:rsidR="00617538" w:rsidRPr="00F731DB" w14:paraId="14242F13" w14:textId="77777777" w:rsidTr="002A671A">
        <w:tc>
          <w:tcPr>
            <w:tcW w:w="828" w:type="dxa"/>
          </w:tcPr>
          <w:p w14:paraId="34B553F8" w14:textId="77777777" w:rsidR="00617538" w:rsidRPr="00F731DB" w:rsidRDefault="00617538" w:rsidP="002A671A">
            <w:r w:rsidRPr="00F731DB">
              <w:rPr>
                <w:b/>
                <w:sz w:val="22"/>
                <w:szCs w:val="22"/>
              </w:rPr>
              <w:t>Lot 4:</w:t>
            </w:r>
          </w:p>
        </w:tc>
        <w:tc>
          <w:tcPr>
            <w:tcW w:w="7452" w:type="dxa"/>
          </w:tcPr>
          <w:p w14:paraId="2B631B89" w14:textId="77777777" w:rsidR="00617538" w:rsidRPr="00F731DB" w:rsidRDefault="00617538" w:rsidP="002A671A">
            <w:pPr>
              <w:jc w:val="both"/>
            </w:pPr>
            <w:r w:rsidRPr="00F731DB">
              <w:rPr>
                <w:rFonts w:eastAsia="Arial Unicode MS"/>
                <w:b/>
                <w:sz w:val="22"/>
                <w:szCs w:val="22"/>
              </w:rPr>
              <w:t>AMD 1</w:t>
            </w:r>
            <w:r>
              <w:rPr>
                <w:rFonts w:eastAsia="Arial Unicode MS"/>
                <w:b/>
                <w:sz w:val="22"/>
                <w:szCs w:val="22"/>
              </w:rPr>
              <w:t>49</w:t>
            </w:r>
            <w:r w:rsidRPr="00F731DB">
              <w:rPr>
                <w:rFonts w:eastAsia="Arial Unicode MS"/>
                <w:b/>
                <w:sz w:val="22"/>
                <w:szCs w:val="22"/>
              </w:rPr>
              <w:t>,500,000.00 (</w:t>
            </w:r>
            <w:r w:rsidRPr="00F731DB">
              <w:rPr>
                <w:b/>
                <w:sz w:val="22"/>
                <w:szCs w:val="22"/>
              </w:rPr>
              <w:t>or its equivalent in EUR or USD</w:t>
            </w:r>
            <w:r w:rsidRPr="00F731DB">
              <w:rPr>
                <w:rFonts w:eastAsia="Arial Unicode MS"/>
                <w:b/>
                <w:sz w:val="22"/>
                <w:szCs w:val="22"/>
              </w:rPr>
              <w:t xml:space="preserve">) </w:t>
            </w:r>
            <w:r w:rsidRPr="00F731DB">
              <w:rPr>
                <w:b/>
                <w:sz w:val="22"/>
                <w:szCs w:val="22"/>
              </w:rPr>
              <w:t>net of the Bidder’s other commitments;</w:t>
            </w:r>
          </w:p>
        </w:tc>
      </w:tr>
      <w:tr w:rsidR="00617538" w:rsidRPr="00F731DB" w14:paraId="5DD3A287" w14:textId="77777777" w:rsidTr="002A671A">
        <w:tc>
          <w:tcPr>
            <w:tcW w:w="828" w:type="dxa"/>
          </w:tcPr>
          <w:p w14:paraId="4B2EB4FF" w14:textId="77777777" w:rsidR="00617538" w:rsidRPr="00F731DB" w:rsidRDefault="00617538" w:rsidP="002A671A">
            <w:r w:rsidRPr="00F731DB">
              <w:rPr>
                <w:b/>
                <w:sz w:val="22"/>
                <w:szCs w:val="22"/>
              </w:rPr>
              <w:t>Lot 5:</w:t>
            </w:r>
          </w:p>
        </w:tc>
        <w:tc>
          <w:tcPr>
            <w:tcW w:w="7452" w:type="dxa"/>
          </w:tcPr>
          <w:p w14:paraId="59E26899" w14:textId="77777777" w:rsidR="00617538" w:rsidRPr="00F731DB" w:rsidRDefault="00617538" w:rsidP="002A671A">
            <w:pPr>
              <w:jc w:val="both"/>
            </w:pPr>
            <w:r w:rsidRPr="00F731DB">
              <w:rPr>
                <w:rFonts w:eastAsia="Arial Unicode MS"/>
                <w:b/>
                <w:sz w:val="22"/>
                <w:szCs w:val="22"/>
              </w:rPr>
              <w:t>AMD 11</w:t>
            </w:r>
            <w:r>
              <w:rPr>
                <w:rFonts w:eastAsia="Arial Unicode MS"/>
                <w:b/>
                <w:sz w:val="22"/>
                <w:szCs w:val="22"/>
              </w:rPr>
              <w:t>0</w:t>
            </w:r>
            <w:r w:rsidRPr="00F731DB">
              <w:rPr>
                <w:rFonts w:eastAsia="Arial Unicode MS"/>
                <w:b/>
                <w:sz w:val="22"/>
                <w:szCs w:val="22"/>
              </w:rPr>
              <w:t>,</w:t>
            </w:r>
            <w:r>
              <w:rPr>
                <w:rFonts w:eastAsia="Arial Unicode MS"/>
                <w:b/>
                <w:sz w:val="22"/>
                <w:szCs w:val="22"/>
              </w:rPr>
              <w:t>0</w:t>
            </w:r>
            <w:r w:rsidRPr="00F731DB">
              <w:rPr>
                <w:rFonts w:eastAsia="Arial Unicode MS"/>
                <w:b/>
                <w:sz w:val="22"/>
                <w:szCs w:val="22"/>
              </w:rPr>
              <w:t>00,000.00 (</w:t>
            </w:r>
            <w:r w:rsidRPr="00F731DB">
              <w:rPr>
                <w:b/>
                <w:sz w:val="22"/>
                <w:szCs w:val="22"/>
              </w:rPr>
              <w:t>or its equivalent in EUR or USD</w:t>
            </w:r>
            <w:r w:rsidRPr="00F731DB">
              <w:rPr>
                <w:rFonts w:eastAsia="Arial Unicode MS"/>
                <w:b/>
                <w:sz w:val="22"/>
                <w:szCs w:val="22"/>
              </w:rPr>
              <w:t xml:space="preserve">) </w:t>
            </w:r>
            <w:r w:rsidRPr="00F731DB">
              <w:rPr>
                <w:b/>
                <w:sz w:val="22"/>
                <w:szCs w:val="22"/>
              </w:rPr>
              <w:t>net of the Bidder’s other commitments;</w:t>
            </w:r>
          </w:p>
        </w:tc>
      </w:tr>
      <w:tr w:rsidR="00617538" w:rsidRPr="00F731DB" w14:paraId="02634C6B" w14:textId="77777777" w:rsidTr="002A671A">
        <w:tc>
          <w:tcPr>
            <w:tcW w:w="828" w:type="dxa"/>
          </w:tcPr>
          <w:p w14:paraId="1B0EF2EE" w14:textId="77777777" w:rsidR="00617538" w:rsidRPr="00F731DB" w:rsidRDefault="00617538" w:rsidP="002A671A">
            <w:r w:rsidRPr="00F731DB">
              <w:rPr>
                <w:b/>
                <w:sz w:val="22"/>
                <w:szCs w:val="22"/>
              </w:rPr>
              <w:t>Lot 6:</w:t>
            </w:r>
          </w:p>
        </w:tc>
        <w:tc>
          <w:tcPr>
            <w:tcW w:w="7452" w:type="dxa"/>
          </w:tcPr>
          <w:p w14:paraId="278A5ECB" w14:textId="77777777" w:rsidR="00617538" w:rsidRPr="00F731DB" w:rsidRDefault="00617538" w:rsidP="002A671A">
            <w:pPr>
              <w:jc w:val="both"/>
            </w:pPr>
            <w:r w:rsidRPr="00F731DB">
              <w:rPr>
                <w:rFonts w:eastAsia="Arial Unicode MS"/>
                <w:b/>
                <w:sz w:val="22"/>
                <w:szCs w:val="22"/>
              </w:rPr>
              <w:t>AMD 9</w:t>
            </w:r>
            <w:r>
              <w:rPr>
                <w:rFonts w:eastAsia="Arial Unicode MS"/>
                <w:b/>
                <w:sz w:val="22"/>
                <w:szCs w:val="22"/>
              </w:rPr>
              <w:t>6</w:t>
            </w:r>
            <w:r w:rsidRPr="00F731DB">
              <w:rPr>
                <w:rFonts w:eastAsia="Arial Unicode MS"/>
                <w:b/>
                <w:sz w:val="22"/>
                <w:szCs w:val="22"/>
              </w:rPr>
              <w:t>,000,000.00 (</w:t>
            </w:r>
            <w:r w:rsidRPr="00F731DB">
              <w:rPr>
                <w:b/>
                <w:sz w:val="22"/>
                <w:szCs w:val="22"/>
              </w:rPr>
              <w:t>or its equivalent in EUR or USD</w:t>
            </w:r>
            <w:r w:rsidRPr="00F731DB">
              <w:rPr>
                <w:rFonts w:eastAsia="Arial Unicode MS"/>
                <w:b/>
                <w:sz w:val="22"/>
                <w:szCs w:val="22"/>
              </w:rPr>
              <w:t xml:space="preserve">) </w:t>
            </w:r>
            <w:r w:rsidRPr="00F731DB">
              <w:rPr>
                <w:b/>
                <w:sz w:val="22"/>
                <w:szCs w:val="22"/>
              </w:rPr>
              <w:t>net of the Bidder’s other commitments;</w:t>
            </w:r>
          </w:p>
        </w:tc>
      </w:tr>
      <w:bookmarkEnd w:id="7"/>
      <w:tr w:rsidR="00617538" w:rsidRPr="00F731DB" w14:paraId="66CB482E" w14:textId="77777777" w:rsidTr="002A671A">
        <w:tc>
          <w:tcPr>
            <w:tcW w:w="828" w:type="dxa"/>
          </w:tcPr>
          <w:p w14:paraId="367760F7" w14:textId="77777777" w:rsidR="00617538" w:rsidRPr="00F731DB" w:rsidRDefault="00617538" w:rsidP="002A671A">
            <w:pPr>
              <w:rPr>
                <w:b/>
                <w:sz w:val="22"/>
                <w:szCs w:val="22"/>
              </w:rPr>
            </w:pPr>
            <w:r w:rsidRPr="00F731DB">
              <w:rPr>
                <w:b/>
                <w:sz w:val="22"/>
                <w:szCs w:val="22"/>
              </w:rPr>
              <w:lastRenderedPageBreak/>
              <w:t>Lot 7:</w:t>
            </w:r>
          </w:p>
        </w:tc>
        <w:tc>
          <w:tcPr>
            <w:tcW w:w="7452" w:type="dxa"/>
          </w:tcPr>
          <w:p w14:paraId="1CCFB123" w14:textId="77777777" w:rsidR="00617538" w:rsidRPr="00F731DB" w:rsidRDefault="00617538" w:rsidP="002A671A">
            <w:pPr>
              <w:jc w:val="both"/>
              <w:rPr>
                <w:rFonts w:eastAsia="Arial Unicode MS"/>
                <w:b/>
                <w:sz w:val="22"/>
                <w:szCs w:val="22"/>
              </w:rPr>
            </w:pPr>
            <w:r w:rsidRPr="00F731DB">
              <w:rPr>
                <w:rFonts w:eastAsia="Arial Unicode MS"/>
                <w:b/>
                <w:sz w:val="22"/>
                <w:szCs w:val="22"/>
              </w:rPr>
              <w:t>AMD 12</w:t>
            </w:r>
            <w:r>
              <w:rPr>
                <w:rFonts w:eastAsia="Arial Unicode MS"/>
                <w:b/>
                <w:sz w:val="22"/>
                <w:szCs w:val="22"/>
              </w:rPr>
              <w:t>7</w:t>
            </w:r>
            <w:r w:rsidRPr="00F731DB">
              <w:rPr>
                <w:rFonts w:eastAsia="Arial Unicode MS"/>
                <w:b/>
                <w:sz w:val="22"/>
                <w:szCs w:val="22"/>
              </w:rPr>
              <w:t>,000,000.00 (</w:t>
            </w:r>
            <w:r w:rsidRPr="00F731DB">
              <w:rPr>
                <w:b/>
                <w:sz w:val="22"/>
                <w:szCs w:val="22"/>
              </w:rPr>
              <w:t>or its equivalent in EUR or USD</w:t>
            </w:r>
            <w:r w:rsidRPr="00F731DB">
              <w:rPr>
                <w:rFonts w:eastAsia="Arial Unicode MS"/>
                <w:b/>
                <w:sz w:val="22"/>
                <w:szCs w:val="22"/>
              </w:rPr>
              <w:t xml:space="preserve">) </w:t>
            </w:r>
            <w:r w:rsidRPr="00F731DB">
              <w:rPr>
                <w:b/>
                <w:sz w:val="22"/>
                <w:szCs w:val="22"/>
              </w:rPr>
              <w:t>net of the Bidder’s other commitments.</w:t>
            </w:r>
          </w:p>
        </w:tc>
      </w:tr>
    </w:tbl>
    <w:p w14:paraId="1F9CFCF5" w14:textId="77777777" w:rsidR="00617538" w:rsidRDefault="00617538" w:rsidP="00617538">
      <w:pPr>
        <w:pStyle w:val="Header"/>
        <w:pBdr>
          <w:bottom w:val="none" w:sz="0" w:space="0" w:color="auto"/>
        </w:pBd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ind w:left="360"/>
        <w:rPr>
          <w:rFonts w:ascii="Times New Roman" w:hAnsi="Times New Roman"/>
          <w:b/>
          <w:sz w:val="22"/>
          <w:szCs w:val="22"/>
          <w:lang w:val="en-US"/>
        </w:rPr>
      </w:pPr>
    </w:p>
    <w:p w14:paraId="64A0FA39" w14:textId="2F563759" w:rsidR="00617538" w:rsidRDefault="00617538" w:rsidP="00617538">
      <w:pPr>
        <w:pStyle w:val="Header"/>
        <w:pBdr>
          <w:bottom w:val="none" w:sz="0" w:space="0" w:color="auto"/>
        </w:pBd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ind w:left="360"/>
        <w:rPr>
          <w:rFonts w:ascii="Times New Roman" w:hAnsi="Times New Roman"/>
          <w:sz w:val="22"/>
          <w:szCs w:val="22"/>
        </w:rPr>
      </w:pPr>
      <w:r w:rsidRPr="00B7187C">
        <w:rPr>
          <w:rFonts w:ascii="Times New Roman" w:hAnsi="Times New Roman"/>
          <w:sz w:val="22"/>
          <w:szCs w:val="22"/>
        </w:rPr>
        <w:t>-</w:t>
      </w:r>
      <w:r w:rsidR="00D53A9E">
        <w:rPr>
          <w:rFonts w:ascii="Times New Roman" w:hAnsi="Times New Roman"/>
          <w:sz w:val="22"/>
          <w:szCs w:val="22"/>
        </w:rPr>
        <w:t xml:space="preserve"> </w:t>
      </w:r>
      <w:r w:rsidRPr="00B7187C">
        <w:rPr>
          <w:rFonts w:ascii="Times New Roman" w:hAnsi="Times New Roman"/>
          <w:sz w:val="22"/>
          <w:szCs w:val="22"/>
        </w:rPr>
        <w:t xml:space="preserve">A minimum number of </w:t>
      </w:r>
      <w:r w:rsidRPr="000003C2">
        <w:rPr>
          <w:rFonts w:ascii="Times New Roman" w:hAnsi="Times New Roman"/>
          <w:b/>
          <w:sz w:val="22"/>
          <w:szCs w:val="22"/>
          <w:u w:val="single"/>
        </w:rPr>
        <w:t>similar</w:t>
      </w:r>
      <w:r w:rsidRPr="00B7187C">
        <w:rPr>
          <w:rFonts w:ascii="Times New Roman" w:hAnsi="Times New Roman"/>
          <w:sz w:val="22"/>
          <w:szCs w:val="22"/>
        </w:rPr>
        <w:t xml:space="preserve"> (capital construction in residential</w:t>
      </w:r>
      <w:r>
        <w:rPr>
          <w:rFonts w:ascii="Times New Roman" w:hAnsi="Times New Roman"/>
          <w:sz w:val="22"/>
          <w:szCs w:val="22"/>
          <w:lang w:val="hy-AM"/>
        </w:rPr>
        <w:t>/</w:t>
      </w:r>
      <w:r w:rsidRPr="00B7187C">
        <w:rPr>
          <w:rFonts w:ascii="Times New Roman" w:hAnsi="Times New Roman"/>
          <w:sz w:val="22"/>
          <w:szCs w:val="22"/>
        </w:rPr>
        <w:t>public</w:t>
      </w:r>
      <w:r>
        <w:rPr>
          <w:rFonts w:ascii="Times New Roman" w:hAnsi="Times New Roman"/>
          <w:sz w:val="22"/>
          <w:szCs w:val="22"/>
          <w:lang w:val="hy-AM"/>
        </w:rPr>
        <w:t>/</w:t>
      </w:r>
      <w:r w:rsidRPr="00B7187C">
        <w:rPr>
          <w:rFonts w:ascii="Times New Roman" w:hAnsi="Times New Roman"/>
          <w:sz w:val="22"/>
          <w:szCs w:val="22"/>
        </w:rPr>
        <w:t>industrial</w:t>
      </w:r>
      <w:r>
        <w:rPr>
          <w:rFonts w:ascii="Times New Roman" w:hAnsi="Times New Roman"/>
          <w:sz w:val="22"/>
          <w:szCs w:val="22"/>
          <w:lang w:val="hy-AM"/>
        </w:rPr>
        <w:t xml:space="preserve"> </w:t>
      </w:r>
      <w:r>
        <w:rPr>
          <w:rFonts w:ascii="Times New Roman" w:hAnsi="Times New Roman"/>
          <w:sz w:val="22"/>
          <w:szCs w:val="22"/>
          <w:lang w:val="en-US"/>
        </w:rPr>
        <w:t>sectors</w:t>
      </w:r>
      <w:r w:rsidRPr="00B7187C">
        <w:rPr>
          <w:rFonts w:ascii="Times New Roman" w:hAnsi="Times New Roman"/>
          <w:sz w:val="22"/>
          <w:szCs w:val="22"/>
        </w:rPr>
        <w:t>)</w:t>
      </w:r>
      <w:r>
        <w:rPr>
          <w:rFonts w:ascii="Times New Roman" w:hAnsi="Times New Roman"/>
          <w:sz w:val="22"/>
          <w:szCs w:val="22"/>
          <w:lang w:val="en-US"/>
        </w:rPr>
        <w:t xml:space="preserve"> </w:t>
      </w:r>
      <w:r w:rsidRPr="00B7187C">
        <w:rPr>
          <w:rFonts w:ascii="Times New Roman" w:hAnsi="Times New Roman"/>
          <w:sz w:val="22"/>
          <w:szCs w:val="22"/>
        </w:rPr>
        <w:t xml:space="preserve">contracts specified below  that have been satisfactorily and substantially completed as a Prime Contractor, Joint Venture member, Management Contractor or Sub-contractor between </w:t>
      </w:r>
      <w:r w:rsidRPr="00F731DB">
        <w:rPr>
          <w:rFonts w:ascii="Times New Roman" w:eastAsia="Arial Unicode MS" w:hAnsi="Times New Roman"/>
          <w:b/>
          <w:sz w:val="22"/>
          <w:szCs w:val="22"/>
        </w:rPr>
        <w:t>1</w:t>
      </w:r>
      <w:r w:rsidRPr="00F731DB">
        <w:rPr>
          <w:rFonts w:ascii="Times New Roman" w:eastAsia="Arial Unicode MS" w:hAnsi="Times New Roman"/>
          <w:b/>
          <w:sz w:val="22"/>
          <w:szCs w:val="22"/>
          <w:vertAlign w:val="superscript"/>
        </w:rPr>
        <w:t>st</w:t>
      </w:r>
      <w:r w:rsidRPr="00F731DB">
        <w:rPr>
          <w:rFonts w:ascii="Times New Roman" w:eastAsia="Arial Unicode MS" w:hAnsi="Times New Roman"/>
          <w:b/>
          <w:sz w:val="22"/>
          <w:szCs w:val="22"/>
        </w:rPr>
        <w:t xml:space="preserve"> January 20</w:t>
      </w:r>
      <w:r w:rsidRPr="00F731DB">
        <w:rPr>
          <w:rFonts w:ascii="Times New Roman" w:eastAsia="Arial Unicode MS" w:hAnsi="Times New Roman"/>
          <w:b/>
          <w:sz w:val="22"/>
          <w:szCs w:val="22"/>
          <w:lang w:val="en-US"/>
        </w:rPr>
        <w:t>20</w:t>
      </w:r>
      <w:r w:rsidRPr="00B7187C">
        <w:rPr>
          <w:rFonts w:ascii="Times New Roman" w:hAnsi="Times New Roman"/>
          <w:sz w:val="22"/>
          <w:szCs w:val="22"/>
        </w:rPr>
        <w:t xml:space="preserve"> and bid submission deadline</w:t>
      </w:r>
      <w:r>
        <w:rPr>
          <w:rFonts w:ascii="Times New Roman" w:hAnsi="Times New Roman"/>
          <w:sz w:val="22"/>
          <w:szCs w:val="22"/>
          <w:lang w:val="en-US"/>
        </w:rPr>
        <w:t xml:space="preserve"> are</w:t>
      </w:r>
      <w:r w:rsidRPr="00B7187C">
        <w:rPr>
          <w:rFonts w:ascii="Times New Roman" w:hAnsi="Times New Roman"/>
          <w:sz w:val="22"/>
          <w:szCs w:val="22"/>
        </w:rPr>
        <w:t xml:space="preserve">: </w:t>
      </w:r>
    </w:p>
    <w:p w14:paraId="0EAC57E4" w14:textId="77777777" w:rsidR="00617538" w:rsidRDefault="00617538" w:rsidP="00617538">
      <w:pPr>
        <w:pStyle w:val="Header"/>
        <w:pBdr>
          <w:bottom w:val="none" w:sz="0" w:space="0" w:color="auto"/>
        </w:pBd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ind w:left="360"/>
        <w:rPr>
          <w:rFonts w:ascii="Times New Roman" w:hAnsi="Times New Roman"/>
          <w:sz w:val="22"/>
          <w:szCs w:val="22"/>
        </w:rPr>
      </w:pPr>
    </w:p>
    <w:tbl>
      <w:tblPr>
        <w:tblW w:w="8280" w:type="dxa"/>
        <w:tblInd w:w="468" w:type="dxa"/>
        <w:tblLook w:val="04A0" w:firstRow="1" w:lastRow="0" w:firstColumn="1" w:lastColumn="0" w:noHBand="0" w:noVBand="1"/>
      </w:tblPr>
      <w:tblGrid>
        <w:gridCol w:w="828"/>
        <w:gridCol w:w="7452"/>
      </w:tblGrid>
      <w:tr w:rsidR="00617538" w:rsidRPr="00F731DB" w14:paraId="6B331690" w14:textId="77777777" w:rsidTr="002A671A">
        <w:tc>
          <w:tcPr>
            <w:tcW w:w="828" w:type="dxa"/>
          </w:tcPr>
          <w:p w14:paraId="04B490FC" w14:textId="77777777" w:rsidR="00617538" w:rsidRPr="00F731DB" w:rsidRDefault="00617538" w:rsidP="002A671A">
            <w:pPr>
              <w:pStyle w:val="ListParagraph"/>
              <w:suppressAutoHyphens/>
              <w:ind w:left="0"/>
              <w:rPr>
                <w:spacing w:val="-2"/>
                <w:sz w:val="22"/>
                <w:szCs w:val="22"/>
              </w:rPr>
            </w:pPr>
            <w:bookmarkStart w:id="8" w:name="_Hlk206061498"/>
            <w:r w:rsidRPr="00F731DB">
              <w:rPr>
                <w:b/>
                <w:sz w:val="22"/>
                <w:szCs w:val="22"/>
              </w:rPr>
              <w:t>Lot 1:</w:t>
            </w:r>
          </w:p>
        </w:tc>
        <w:tc>
          <w:tcPr>
            <w:tcW w:w="7452" w:type="dxa"/>
          </w:tcPr>
          <w:p w14:paraId="1E2ACE25" w14:textId="77777777" w:rsidR="00617538" w:rsidRPr="00F731DB" w:rsidRDefault="00617538" w:rsidP="002A671A">
            <w:pPr>
              <w:pStyle w:val="Header"/>
              <w:pBdr>
                <w:bottom w:val="none" w:sz="0" w:space="0" w:color="auto"/>
              </w:pBd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lang w:val="en-US"/>
              </w:rPr>
            </w:pPr>
            <w:r w:rsidRPr="00F731DB">
              <w:rPr>
                <w:rFonts w:ascii="Times New Roman" w:eastAsia="Arial Unicode MS" w:hAnsi="Times New Roman"/>
                <w:b/>
                <w:sz w:val="22"/>
                <w:szCs w:val="22"/>
              </w:rPr>
              <w:t>one (1) contract with minimum value of AMD 6</w:t>
            </w:r>
            <w:r>
              <w:rPr>
                <w:rFonts w:ascii="Times New Roman" w:eastAsia="Arial Unicode MS" w:hAnsi="Times New Roman"/>
                <w:b/>
                <w:sz w:val="22"/>
                <w:szCs w:val="22"/>
                <w:lang w:val="en-US"/>
              </w:rPr>
              <w:t>33</w:t>
            </w:r>
            <w:r w:rsidRPr="00F731DB">
              <w:rPr>
                <w:rFonts w:ascii="Times New Roman" w:eastAsia="Arial Unicode MS" w:hAnsi="Times New Roman"/>
                <w:b/>
                <w:sz w:val="22"/>
                <w:szCs w:val="22"/>
              </w:rPr>
              <w:t xml:space="preserve">,000,000.00 (or its equivalent in </w:t>
            </w:r>
            <w:r w:rsidRPr="00F731DB">
              <w:rPr>
                <w:rFonts w:ascii="Times New Roman" w:eastAsia="Arial Unicode MS" w:hAnsi="Times New Roman"/>
                <w:b/>
                <w:sz w:val="22"/>
                <w:szCs w:val="22"/>
                <w:lang w:val="en-US"/>
              </w:rPr>
              <w:t>EUR or USD</w:t>
            </w:r>
            <w:r w:rsidRPr="00F731DB">
              <w:rPr>
                <w:rFonts w:ascii="Times New Roman" w:eastAsia="Arial Unicode MS" w:hAnsi="Times New Roman"/>
                <w:b/>
                <w:sz w:val="22"/>
                <w:szCs w:val="22"/>
              </w:rPr>
              <w:t>) OR</w:t>
            </w:r>
            <w:r w:rsidRPr="00F731DB">
              <w:rPr>
                <w:rFonts w:ascii="Times New Roman" w:eastAsia="Arial Unicode MS" w:hAnsi="Times New Roman"/>
                <w:b/>
                <w:sz w:val="22"/>
                <w:szCs w:val="22"/>
                <w:lang w:val="en-US"/>
              </w:rPr>
              <w:t xml:space="preserve"> </w:t>
            </w:r>
            <w:r w:rsidRPr="00F731DB">
              <w:rPr>
                <w:rFonts w:ascii="Times New Roman" w:eastAsia="Arial Unicode MS" w:hAnsi="Times New Roman"/>
                <w:b/>
                <w:sz w:val="22"/>
                <w:szCs w:val="22"/>
              </w:rPr>
              <w:t xml:space="preserve"> two (2) contracts</w:t>
            </w:r>
            <w:r w:rsidRPr="00F731DB">
              <w:rPr>
                <w:rFonts w:ascii="Times New Roman" w:eastAsia="Arial Unicode MS" w:hAnsi="Times New Roman"/>
                <w:b/>
                <w:sz w:val="22"/>
                <w:szCs w:val="22"/>
                <w:lang w:val="hy-AM"/>
              </w:rPr>
              <w:t>*</w:t>
            </w:r>
            <w:r w:rsidRPr="00F731DB">
              <w:rPr>
                <w:rFonts w:ascii="Times New Roman" w:eastAsia="Arial Unicode MS" w:hAnsi="Times New Roman"/>
                <w:b/>
                <w:sz w:val="22"/>
                <w:szCs w:val="22"/>
              </w:rPr>
              <w:t xml:space="preserve"> each with minimum value of AMD </w:t>
            </w:r>
            <w:r>
              <w:rPr>
                <w:rFonts w:ascii="Times New Roman" w:eastAsia="Arial Unicode MS" w:hAnsi="Times New Roman"/>
                <w:b/>
                <w:sz w:val="22"/>
                <w:szCs w:val="22"/>
                <w:lang w:val="hy-AM"/>
              </w:rPr>
              <w:t>4</w:t>
            </w:r>
            <w:r>
              <w:rPr>
                <w:rFonts w:ascii="Times New Roman" w:eastAsia="Arial Unicode MS" w:hAnsi="Times New Roman"/>
                <w:b/>
                <w:sz w:val="22"/>
                <w:szCs w:val="22"/>
                <w:lang w:val="en-US"/>
              </w:rPr>
              <w:t>43</w:t>
            </w:r>
            <w:r w:rsidRPr="00F731DB">
              <w:rPr>
                <w:rFonts w:ascii="Times New Roman" w:eastAsia="Arial Unicode MS" w:hAnsi="Times New Roman"/>
                <w:b/>
                <w:sz w:val="22"/>
                <w:szCs w:val="22"/>
              </w:rPr>
              <w:t>,</w:t>
            </w:r>
            <w:r>
              <w:rPr>
                <w:rFonts w:ascii="Times New Roman" w:eastAsia="Arial Unicode MS" w:hAnsi="Times New Roman"/>
                <w:b/>
                <w:sz w:val="22"/>
                <w:szCs w:val="22"/>
                <w:lang w:val="en-US"/>
              </w:rPr>
              <w:t>1</w:t>
            </w:r>
            <w:r w:rsidRPr="00F731DB">
              <w:rPr>
                <w:rFonts w:ascii="Times New Roman" w:eastAsia="Arial Unicode MS" w:hAnsi="Times New Roman"/>
                <w:b/>
                <w:sz w:val="22"/>
                <w:szCs w:val="22"/>
              </w:rPr>
              <w:t>00,000.00</w:t>
            </w:r>
            <w:r w:rsidRPr="00F731DB">
              <w:rPr>
                <w:rFonts w:ascii="Times New Roman" w:hAnsi="Times New Roman"/>
                <w:b/>
                <w:sz w:val="22"/>
                <w:szCs w:val="22"/>
                <w:lang w:val="hy-AM"/>
              </w:rPr>
              <w:t xml:space="preserve"> </w:t>
            </w:r>
            <w:r w:rsidRPr="00F731DB">
              <w:rPr>
                <w:rFonts w:ascii="Times New Roman" w:eastAsia="Arial Unicode MS" w:hAnsi="Times New Roman"/>
                <w:b/>
                <w:sz w:val="22"/>
                <w:szCs w:val="22"/>
              </w:rPr>
              <w:t>(or its equivalent in EUR or USD)</w:t>
            </w:r>
            <w:r w:rsidRPr="00F731DB">
              <w:rPr>
                <w:rFonts w:ascii="Times New Roman" w:eastAsia="Arial Unicode MS" w:hAnsi="Times New Roman"/>
                <w:b/>
                <w:sz w:val="22"/>
                <w:szCs w:val="22"/>
                <w:lang w:val="en-US"/>
              </w:rPr>
              <w:t>;</w:t>
            </w:r>
          </w:p>
        </w:tc>
      </w:tr>
      <w:tr w:rsidR="00617538" w:rsidRPr="00F731DB" w14:paraId="60C420A6" w14:textId="77777777" w:rsidTr="002A671A">
        <w:tc>
          <w:tcPr>
            <w:tcW w:w="828" w:type="dxa"/>
          </w:tcPr>
          <w:p w14:paraId="21F58A33" w14:textId="77777777" w:rsidR="00617538" w:rsidRPr="00F731DB" w:rsidRDefault="00617538" w:rsidP="002A671A">
            <w:r w:rsidRPr="00F731DB">
              <w:rPr>
                <w:b/>
                <w:sz w:val="22"/>
                <w:szCs w:val="22"/>
              </w:rPr>
              <w:t>Lot 2:</w:t>
            </w:r>
          </w:p>
        </w:tc>
        <w:tc>
          <w:tcPr>
            <w:tcW w:w="7452" w:type="dxa"/>
          </w:tcPr>
          <w:p w14:paraId="63C391FA" w14:textId="77777777" w:rsidR="00617538" w:rsidRPr="00F731DB" w:rsidRDefault="00617538" w:rsidP="002A671A">
            <w:pPr>
              <w:pStyle w:val="Header"/>
              <w:pBdr>
                <w:bottom w:val="none" w:sz="0" w:space="0" w:color="auto"/>
              </w:pBd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lang w:val="en-US"/>
              </w:rPr>
            </w:pPr>
            <w:r w:rsidRPr="00F731DB">
              <w:rPr>
                <w:rFonts w:ascii="Times New Roman" w:eastAsia="Arial Unicode MS" w:hAnsi="Times New Roman"/>
                <w:b/>
                <w:sz w:val="22"/>
                <w:szCs w:val="22"/>
              </w:rPr>
              <w:t xml:space="preserve">one (1) contract with minimum value of AMD </w:t>
            </w:r>
            <w:r w:rsidRPr="00F731DB">
              <w:rPr>
                <w:rFonts w:ascii="Times New Roman" w:eastAsia="Arial Unicode MS" w:hAnsi="Times New Roman"/>
                <w:b/>
                <w:sz w:val="22"/>
                <w:szCs w:val="22"/>
                <w:lang w:val="en-US"/>
              </w:rPr>
              <w:t>5</w:t>
            </w:r>
            <w:r>
              <w:rPr>
                <w:rFonts w:ascii="Times New Roman" w:eastAsia="Arial Unicode MS" w:hAnsi="Times New Roman"/>
                <w:b/>
                <w:sz w:val="22"/>
                <w:szCs w:val="22"/>
                <w:lang w:val="en-US"/>
              </w:rPr>
              <w:t>59</w:t>
            </w:r>
            <w:r w:rsidRPr="00F731DB">
              <w:rPr>
                <w:rFonts w:ascii="Times New Roman" w:eastAsia="Arial Unicode MS" w:hAnsi="Times New Roman"/>
                <w:b/>
                <w:sz w:val="22"/>
                <w:szCs w:val="22"/>
              </w:rPr>
              <w:t xml:space="preserve">,000,000.00 (or its equivalent in </w:t>
            </w:r>
            <w:r w:rsidRPr="00F731DB">
              <w:rPr>
                <w:rFonts w:ascii="Times New Roman" w:eastAsia="Arial Unicode MS" w:hAnsi="Times New Roman"/>
                <w:b/>
                <w:sz w:val="22"/>
                <w:szCs w:val="22"/>
                <w:lang w:val="en-US"/>
              </w:rPr>
              <w:t>EUR or USD</w:t>
            </w:r>
            <w:r w:rsidRPr="00F731DB">
              <w:rPr>
                <w:rFonts w:ascii="Times New Roman" w:eastAsia="Arial Unicode MS" w:hAnsi="Times New Roman"/>
                <w:b/>
                <w:sz w:val="22"/>
                <w:szCs w:val="22"/>
              </w:rPr>
              <w:t>) OR</w:t>
            </w:r>
            <w:r w:rsidRPr="00F731DB">
              <w:rPr>
                <w:rFonts w:ascii="Times New Roman" w:eastAsia="Arial Unicode MS" w:hAnsi="Times New Roman"/>
                <w:b/>
                <w:sz w:val="22"/>
                <w:szCs w:val="22"/>
                <w:lang w:val="en-US"/>
              </w:rPr>
              <w:t xml:space="preserve"> </w:t>
            </w:r>
            <w:r w:rsidRPr="00F731DB">
              <w:rPr>
                <w:rFonts w:ascii="Times New Roman" w:eastAsia="Arial Unicode MS" w:hAnsi="Times New Roman"/>
                <w:b/>
                <w:sz w:val="22"/>
                <w:szCs w:val="22"/>
              </w:rPr>
              <w:t xml:space="preserve"> two (2) contracts</w:t>
            </w:r>
            <w:r w:rsidRPr="00F731DB">
              <w:rPr>
                <w:rFonts w:ascii="Times New Roman" w:eastAsia="Arial Unicode MS" w:hAnsi="Times New Roman"/>
                <w:b/>
                <w:sz w:val="22"/>
                <w:szCs w:val="22"/>
                <w:lang w:val="hy-AM"/>
              </w:rPr>
              <w:t>*</w:t>
            </w:r>
            <w:r w:rsidRPr="00F731DB">
              <w:rPr>
                <w:rFonts w:ascii="Times New Roman" w:eastAsia="Arial Unicode MS" w:hAnsi="Times New Roman"/>
                <w:b/>
                <w:sz w:val="22"/>
                <w:szCs w:val="22"/>
              </w:rPr>
              <w:t xml:space="preserve"> each with minimum value of AMD </w:t>
            </w:r>
            <w:r>
              <w:rPr>
                <w:rFonts w:ascii="Times New Roman" w:eastAsia="Arial Unicode MS" w:hAnsi="Times New Roman"/>
                <w:b/>
                <w:sz w:val="22"/>
                <w:szCs w:val="22"/>
                <w:lang w:val="hy-AM"/>
              </w:rPr>
              <w:t>39</w:t>
            </w:r>
            <w:r>
              <w:rPr>
                <w:rFonts w:ascii="Times New Roman" w:eastAsia="Arial Unicode MS" w:hAnsi="Times New Roman"/>
                <w:b/>
                <w:sz w:val="22"/>
                <w:szCs w:val="22"/>
                <w:lang w:val="en-US"/>
              </w:rPr>
              <w:t>1</w:t>
            </w:r>
            <w:r w:rsidRPr="00F731DB">
              <w:rPr>
                <w:rFonts w:ascii="Times New Roman" w:eastAsia="Arial Unicode MS" w:hAnsi="Times New Roman"/>
                <w:b/>
                <w:sz w:val="22"/>
                <w:szCs w:val="22"/>
              </w:rPr>
              <w:t>,</w:t>
            </w:r>
            <w:r>
              <w:rPr>
                <w:rFonts w:ascii="Times New Roman" w:eastAsia="Arial Unicode MS" w:hAnsi="Times New Roman"/>
                <w:b/>
                <w:sz w:val="22"/>
                <w:szCs w:val="22"/>
                <w:lang w:val="en-US"/>
              </w:rPr>
              <w:t>3</w:t>
            </w:r>
            <w:r w:rsidRPr="00F731DB">
              <w:rPr>
                <w:rFonts w:ascii="Times New Roman" w:eastAsia="Arial Unicode MS" w:hAnsi="Times New Roman"/>
                <w:b/>
                <w:sz w:val="22"/>
                <w:szCs w:val="22"/>
              </w:rPr>
              <w:t>00,000.00</w:t>
            </w:r>
            <w:r w:rsidRPr="00F731DB">
              <w:rPr>
                <w:rFonts w:ascii="Times New Roman" w:hAnsi="Times New Roman"/>
                <w:b/>
                <w:sz w:val="22"/>
                <w:szCs w:val="22"/>
                <w:lang w:val="hy-AM"/>
              </w:rPr>
              <w:t xml:space="preserve"> </w:t>
            </w:r>
            <w:r w:rsidRPr="00F731DB">
              <w:rPr>
                <w:rFonts w:ascii="Times New Roman" w:eastAsia="Arial Unicode MS" w:hAnsi="Times New Roman"/>
                <w:b/>
                <w:sz w:val="22"/>
                <w:szCs w:val="22"/>
              </w:rPr>
              <w:t>(or its equivalent in EUR or USD)</w:t>
            </w:r>
            <w:r w:rsidRPr="00F731DB">
              <w:rPr>
                <w:rFonts w:ascii="Times New Roman" w:eastAsia="Arial Unicode MS" w:hAnsi="Times New Roman"/>
                <w:b/>
                <w:sz w:val="22"/>
                <w:szCs w:val="22"/>
                <w:lang w:val="en-US"/>
              </w:rPr>
              <w:t>;</w:t>
            </w:r>
          </w:p>
        </w:tc>
      </w:tr>
      <w:tr w:rsidR="00617538" w:rsidRPr="00F731DB" w14:paraId="5AAE8697" w14:textId="77777777" w:rsidTr="002A671A">
        <w:tc>
          <w:tcPr>
            <w:tcW w:w="828" w:type="dxa"/>
          </w:tcPr>
          <w:p w14:paraId="5F2571AB" w14:textId="77777777" w:rsidR="00617538" w:rsidRPr="00F731DB" w:rsidRDefault="00617538" w:rsidP="002A671A">
            <w:r w:rsidRPr="00F731DB">
              <w:rPr>
                <w:b/>
                <w:sz w:val="22"/>
                <w:szCs w:val="22"/>
              </w:rPr>
              <w:t>Lot 3:</w:t>
            </w:r>
          </w:p>
        </w:tc>
        <w:tc>
          <w:tcPr>
            <w:tcW w:w="7452" w:type="dxa"/>
          </w:tcPr>
          <w:p w14:paraId="3A86A681" w14:textId="77777777" w:rsidR="00617538" w:rsidRPr="00F731DB" w:rsidRDefault="00617538" w:rsidP="002A671A">
            <w:pPr>
              <w:pStyle w:val="Header"/>
              <w:pBdr>
                <w:bottom w:val="none" w:sz="0" w:space="0" w:color="auto"/>
              </w:pBd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lang w:val="en-US"/>
              </w:rPr>
            </w:pPr>
            <w:r w:rsidRPr="00F731DB">
              <w:rPr>
                <w:rFonts w:ascii="Times New Roman" w:eastAsia="Arial Unicode MS" w:hAnsi="Times New Roman"/>
                <w:b/>
                <w:sz w:val="22"/>
                <w:szCs w:val="22"/>
              </w:rPr>
              <w:t xml:space="preserve">one (1) contract with minimum value of AMD </w:t>
            </w:r>
            <w:r w:rsidRPr="00F731DB">
              <w:rPr>
                <w:rFonts w:ascii="Times New Roman" w:eastAsia="Arial Unicode MS" w:hAnsi="Times New Roman"/>
                <w:b/>
                <w:sz w:val="22"/>
                <w:szCs w:val="22"/>
                <w:lang w:val="en-US"/>
              </w:rPr>
              <w:t>5</w:t>
            </w:r>
            <w:r>
              <w:rPr>
                <w:rFonts w:ascii="Times New Roman" w:eastAsia="Arial Unicode MS" w:hAnsi="Times New Roman"/>
                <w:b/>
                <w:sz w:val="22"/>
                <w:szCs w:val="22"/>
                <w:lang w:val="en-US"/>
              </w:rPr>
              <w:t>5</w:t>
            </w:r>
            <w:r w:rsidRPr="00F731DB">
              <w:rPr>
                <w:rFonts w:ascii="Times New Roman" w:eastAsia="Arial Unicode MS" w:hAnsi="Times New Roman"/>
                <w:b/>
                <w:sz w:val="22"/>
                <w:szCs w:val="22"/>
                <w:lang w:val="en-US"/>
              </w:rPr>
              <w:t>0</w:t>
            </w:r>
            <w:r w:rsidRPr="00F731DB">
              <w:rPr>
                <w:rFonts w:ascii="Times New Roman" w:eastAsia="Arial Unicode MS" w:hAnsi="Times New Roman"/>
                <w:b/>
                <w:sz w:val="22"/>
                <w:szCs w:val="22"/>
              </w:rPr>
              <w:t xml:space="preserve">,000,000.00 (or its equivalent in </w:t>
            </w:r>
            <w:r w:rsidRPr="00F731DB">
              <w:rPr>
                <w:rFonts w:ascii="Times New Roman" w:eastAsia="Arial Unicode MS" w:hAnsi="Times New Roman"/>
                <w:b/>
                <w:sz w:val="22"/>
                <w:szCs w:val="22"/>
                <w:lang w:val="en-US"/>
              </w:rPr>
              <w:t>EUR or USD</w:t>
            </w:r>
            <w:r w:rsidRPr="00F731DB">
              <w:rPr>
                <w:rFonts w:ascii="Times New Roman" w:eastAsia="Arial Unicode MS" w:hAnsi="Times New Roman"/>
                <w:b/>
                <w:sz w:val="22"/>
                <w:szCs w:val="22"/>
              </w:rPr>
              <w:t>) OR</w:t>
            </w:r>
            <w:r w:rsidRPr="00F731DB">
              <w:rPr>
                <w:rFonts w:ascii="Times New Roman" w:eastAsia="Arial Unicode MS" w:hAnsi="Times New Roman"/>
                <w:b/>
                <w:sz w:val="22"/>
                <w:szCs w:val="22"/>
                <w:lang w:val="en-US"/>
              </w:rPr>
              <w:t xml:space="preserve"> </w:t>
            </w:r>
            <w:r w:rsidRPr="00F731DB">
              <w:rPr>
                <w:rFonts w:ascii="Times New Roman" w:eastAsia="Arial Unicode MS" w:hAnsi="Times New Roman"/>
                <w:b/>
                <w:sz w:val="22"/>
                <w:szCs w:val="22"/>
              </w:rPr>
              <w:t>two (2) contracts</w:t>
            </w:r>
            <w:r w:rsidRPr="00F731DB">
              <w:rPr>
                <w:rFonts w:ascii="Times New Roman" w:eastAsia="Arial Unicode MS" w:hAnsi="Times New Roman"/>
                <w:b/>
                <w:sz w:val="22"/>
                <w:szCs w:val="22"/>
                <w:lang w:val="hy-AM"/>
              </w:rPr>
              <w:t>*</w:t>
            </w:r>
            <w:r w:rsidRPr="00F731DB">
              <w:rPr>
                <w:rFonts w:ascii="Times New Roman" w:eastAsia="Arial Unicode MS" w:hAnsi="Times New Roman"/>
                <w:b/>
                <w:sz w:val="22"/>
                <w:szCs w:val="22"/>
              </w:rPr>
              <w:t xml:space="preserve"> each with minimum value of AMD </w:t>
            </w:r>
            <w:r>
              <w:rPr>
                <w:rFonts w:ascii="Times New Roman" w:eastAsia="Arial Unicode MS" w:hAnsi="Times New Roman"/>
                <w:b/>
                <w:sz w:val="22"/>
                <w:szCs w:val="22"/>
                <w:lang w:val="hy-AM"/>
              </w:rPr>
              <w:t>3</w:t>
            </w:r>
            <w:r>
              <w:rPr>
                <w:rFonts w:ascii="Times New Roman" w:eastAsia="Arial Unicode MS" w:hAnsi="Times New Roman"/>
                <w:b/>
                <w:sz w:val="22"/>
                <w:szCs w:val="22"/>
                <w:lang w:val="en-US"/>
              </w:rPr>
              <w:t>85</w:t>
            </w:r>
            <w:r w:rsidRPr="00F731DB">
              <w:rPr>
                <w:rFonts w:ascii="Times New Roman" w:eastAsia="Arial Unicode MS" w:hAnsi="Times New Roman"/>
                <w:b/>
                <w:sz w:val="22"/>
                <w:szCs w:val="22"/>
              </w:rPr>
              <w:t>,</w:t>
            </w:r>
            <w:r w:rsidRPr="00F731DB">
              <w:rPr>
                <w:rFonts w:ascii="Times New Roman" w:eastAsia="Arial Unicode MS" w:hAnsi="Times New Roman"/>
                <w:b/>
                <w:sz w:val="22"/>
                <w:szCs w:val="22"/>
                <w:lang w:val="en-US"/>
              </w:rPr>
              <w:t>0</w:t>
            </w:r>
            <w:r w:rsidRPr="00F731DB">
              <w:rPr>
                <w:rFonts w:ascii="Times New Roman" w:eastAsia="Arial Unicode MS" w:hAnsi="Times New Roman"/>
                <w:b/>
                <w:sz w:val="22"/>
                <w:szCs w:val="22"/>
              </w:rPr>
              <w:t>00,000.00</w:t>
            </w:r>
            <w:r w:rsidRPr="00F731DB">
              <w:rPr>
                <w:rFonts w:ascii="Times New Roman" w:hAnsi="Times New Roman"/>
                <w:b/>
                <w:sz w:val="22"/>
                <w:szCs w:val="22"/>
                <w:lang w:val="hy-AM"/>
              </w:rPr>
              <w:t xml:space="preserve"> </w:t>
            </w:r>
            <w:r w:rsidRPr="00F731DB">
              <w:rPr>
                <w:rFonts w:ascii="Times New Roman" w:eastAsia="Arial Unicode MS" w:hAnsi="Times New Roman"/>
                <w:b/>
                <w:sz w:val="22"/>
                <w:szCs w:val="22"/>
              </w:rPr>
              <w:t>(or its equivalent in EUR or USD)</w:t>
            </w:r>
            <w:r w:rsidRPr="00F731DB">
              <w:rPr>
                <w:rFonts w:ascii="Times New Roman" w:eastAsia="Arial Unicode MS" w:hAnsi="Times New Roman"/>
                <w:b/>
                <w:sz w:val="22"/>
                <w:szCs w:val="22"/>
                <w:lang w:val="en-US"/>
              </w:rPr>
              <w:t>;</w:t>
            </w:r>
          </w:p>
        </w:tc>
      </w:tr>
      <w:tr w:rsidR="00617538" w:rsidRPr="00F731DB" w14:paraId="58B7A5F4" w14:textId="77777777" w:rsidTr="002A671A">
        <w:tc>
          <w:tcPr>
            <w:tcW w:w="828" w:type="dxa"/>
          </w:tcPr>
          <w:p w14:paraId="746E45FD" w14:textId="77777777" w:rsidR="00617538" w:rsidRPr="00F731DB" w:rsidRDefault="00617538" w:rsidP="002A671A">
            <w:r w:rsidRPr="00F731DB">
              <w:rPr>
                <w:b/>
                <w:sz w:val="22"/>
                <w:szCs w:val="22"/>
              </w:rPr>
              <w:t>Lot 4:</w:t>
            </w:r>
          </w:p>
        </w:tc>
        <w:tc>
          <w:tcPr>
            <w:tcW w:w="7452" w:type="dxa"/>
          </w:tcPr>
          <w:p w14:paraId="457FF3C5" w14:textId="77777777" w:rsidR="00617538" w:rsidRPr="00F731DB" w:rsidRDefault="00617538" w:rsidP="002A671A">
            <w:pPr>
              <w:pStyle w:val="Header"/>
              <w:pBdr>
                <w:bottom w:val="none" w:sz="0" w:space="0" w:color="auto"/>
              </w:pBd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lang w:val="en-US"/>
              </w:rPr>
            </w:pPr>
            <w:r w:rsidRPr="00F731DB">
              <w:rPr>
                <w:rFonts w:ascii="Times New Roman" w:eastAsia="Arial Unicode MS" w:hAnsi="Times New Roman"/>
                <w:b/>
                <w:sz w:val="22"/>
                <w:szCs w:val="22"/>
              </w:rPr>
              <w:t xml:space="preserve">one (1) contract with minimum value of AMD </w:t>
            </w:r>
            <w:r w:rsidRPr="00F731DB">
              <w:rPr>
                <w:rFonts w:ascii="Times New Roman" w:eastAsia="Arial Unicode MS" w:hAnsi="Times New Roman"/>
                <w:b/>
                <w:sz w:val="22"/>
                <w:szCs w:val="22"/>
                <w:lang w:val="en-US"/>
              </w:rPr>
              <w:t>5</w:t>
            </w:r>
            <w:r>
              <w:rPr>
                <w:rFonts w:ascii="Times New Roman" w:eastAsia="Arial Unicode MS" w:hAnsi="Times New Roman"/>
                <w:b/>
                <w:sz w:val="22"/>
                <w:szCs w:val="22"/>
                <w:lang w:val="en-US"/>
              </w:rPr>
              <w:t>0</w:t>
            </w:r>
            <w:r w:rsidRPr="00F731DB">
              <w:rPr>
                <w:rFonts w:ascii="Times New Roman" w:eastAsia="Arial Unicode MS" w:hAnsi="Times New Roman"/>
                <w:b/>
                <w:sz w:val="22"/>
                <w:szCs w:val="22"/>
                <w:lang w:val="en-US"/>
              </w:rPr>
              <w:t>9</w:t>
            </w:r>
            <w:r w:rsidRPr="00F731DB">
              <w:rPr>
                <w:rFonts w:ascii="Times New Roman" w:eastAsia="Arial Unicode MS" w:hAnsi="Times New Roman"/>
                <w:b/>
                <w:sz w:val="22"/>
                <w:szCs w:val="22"/>
              </w:rPr>
              <w:t xml:space="preserve">,000,000.00 (or its equivalent in </w:t>
            </w:r>
            <w:r w:rsidRPr="00F731DB">
              <w:rPr>
                <w:rFonts w:ascii="Times New Roman" w:eastAsia="Arial Unicode MS" w:hAnsi="Times New Roman"/>
                <w:b/>
                <w:sz w:val="22"/>
                <w:szCs w:val="22"/>
                <w:lang w:val="en-US"/>
              </w:rPr>
              <w:t>EUR or USD</w:t>
            </w:r>
            <w:r w:rsidRPr="00F731DB">
              <w:rPr>
                <w:rFonts w:ascii="Times New Roman" w:eastAsia="Arial Unicode MS" w:hAnsi="Times New Roman"/>
                <w:b/>
                <w:sz w:val="22"/>
                <w:szCs w:val="22"/>
              </w:rPr>
              <w:t>) OR</w:t>
            </w:r>
            <w:r w:rsidRPr="00F731DB">
              <w:rPr>
                <w:rFonts w:ascii="Times New Roman" w:eastAsia="Arial Unicode MS" w:hAnsi="Times New Roman"/>
                <w:b/>
                <w:sz w:val="22"/>
                <w:szCs w:val="22"/>
                <w:lang w:val="en-US"/>
              </w:rPr>
              <w:t xml:space="preserve"> </w:t>
            </w:r>
            <w:r w:rsidRPr="00F731DB">
              <w:rPr>
                <w:rFonts w:ascii="Times New Roman" w:eastAsia="Arial Unicode MS" w:hAnsi="Times New Roman"/>
                <w:b/>
                <w:sz w:val="22"/>
                <w:szCs w:val="22"/>
              </w:rPr>
              <w:t>two (2) contracts</w:t>
            </w:r>
            <w:r w:rsidRPr="00F731DB">
              <w:rPr>
                <w:rFonts w:ascii="Times New Roman" w:eastAsia="Arial Unicode MS" w:hAnsi="Times New Roman"/>
                <w:b/>
                <w:sz w:val="22"/>
                <w:szCs w:val="22"/>
                <w:lang w:val="hy-AM"/>
              </w:rPr>
              <w:t>*</w:t>
            </w:r>
            <w:r w:rsidRPr="00F731DB">
              <w:rPr>
                <w:rFonts w:ascii="Times New Roman" w:eastAsia="Arial Unicode MS" w:hAnsi="Times New Roman"/>
                <w:b/>
                <w:sz w:val="22"/>
                <w:szCs w:val="22"/>
              </w:rPr>
              <w:t xml:space="preserve"> each with minimum value of AMD </w:t>
            </w:r>
            <w:r>
              <w:rPr>
                <w:rFonts w:ascii="Times New Roman" w:eastAsia="Arial Unicode MS" w:hAnsi="Times New Roman"/>
                <w:b/>
                <w:sz w:val="22"/>
                <w:szCs w:val="22"/>
                <w:lang w:val="hy-AM"/>
              </w:rPr>
              <w:t>3</w:t>
            </w:r>
            <w:r>
              <w:rPr>
                <w:rFonts w:ascii="Times New Roman" w:eastAsia="Arial Unicode MS" w:hAnsi="Times New Roman"/>
                <w:b/>
                <w:sz w:val="22"/>
                <w:szCs w:val="22"/>
                <w:lang w:val="en-US"/>
              </w:rPr>
              <w:t>5</w:t>
            </w:r>
            <w:r>
              <w:rPr>
                <w:rFonts w:ascii="Times New Roman" w:eastAsia="Arial Unicode MS" w:hAnsi="Times New Roman"/>
                <w:b/>
                <w:sz w:val="22"/>
                <w:szCs w:val="22"/>
                <w:lang w:val="hy-AM"/>
              </w:rPr>
              <w:t>6</w:t>
            </w:r>
            <w:r w:rsidRPr="00F731DB">
              <w:rPr>
                <w:rFonts w:ascii="Times New Roman" w:eastAsia="Arial Unicode MS" w:hAnsi="Times New Roman"/>
                <w:b/>
                <w:sz w:val="22"/>
                <w:szCs w:val="22"/>
              </w:rPr>
              <w:t>,</w:t>
            </w:r>
            <w:r>
              <w:rPr>
                <w:rFonts w:ascii="Times New Roman" w:eastAsia="Arial Unicode MS" w:hAnsi="Times New Roman"/>
                <w:b/>
                <w:sz w:val="22"/>
                <w:szCs w:val="22"/>
                <w:lang w:val="hy-AM"/>
              </w:rPr>
              <w:t>3</w:t>
            </w:r>
            <w:r w:rsidRPr="00F731DB">
              <w:rPr>
                <w:rFonts w:ascii="Times New Roman" w:eastAsia="Arial Unicode MS" w:hAnsi="Times New Roman"/>
                <w:b/>
                <w:sz w:val="22"/>
                <w:szCs w:val="22"/>
              </w:rPr>
              <w:t>00,000.00</w:t>
            </w:r>
            <w:r w:rsidRPr="00F731DB">
              <w:rPr>
                <w:rFonts w:ascii="Times New Roman" w:hAnsi="Times New Roman"/>
                <w:b/>
                <w:sz w:val="22"/>
                <w:szCs w:val="22"/>
                <w:lang w:val="hy-AM"/>
              </w:rPr>
              <w:t xml:space="preserve"> </w:t>
            </w:r>
            <w:r w:rsidRPr="00F731DB">
              <w:rPr>
                <w:rFonts w:ascii="Times New Roman" w:eastAsia="Arial Unicode MS" w:hAnsi="Times New Roman"/>
                <w:b/>
                <w:sz w:val="22"/>
                <w:szCs w:val="22"/>
              </w:rPr>
              <w:t>(or its equivalent in EUR or USD)</w:t>
            </w:r>
            <w:r w:rsidRPr="00F731DB">
              <w:rPr>
                <w:rFonts w:ascii="Times New Roman" w:eastAsia="Arial Unicode MS" w:hAnsi="Times New Roman"/>
                <w:b/>
                <w:sz w:val="22"/>
                <w:szCs w:val="22"/>
                <w:lang w:val="en-US"/>
              </w:rPr>
              <w:t xml:space="preserve">; </w:t>
            </w:r>
          </w:p>
        </w:tc>
      </w:tr>
      <w:tr w:rsidR="00617538" w:rsidRPr="00F731DB" w14:paraId="7FB2DA69" w14:textId="77777777" w:rsidTr="002A671A">
        <w:tc>
          <w:tcPr>
            <w:tcW w:w="828" w:type="dxa"/>
          </w:tcPr>
          <w:p w14:paraId="1866763B" w14:textId="77777777" w:rsidR="00617538" w:rsidRPr="00F731DB" w:rsidRDefault="00617538" w:rsidP="002A671A">
            <w:r w:rsidRPr="00F731DB">
              <w:rPr>
                <w:b/>
                <w:sz w:val="22"/>
                <w:szCs w:val="22"/>
              </w:rPr>
              <w:t>Lot 5:</w:t>
            </w:r>
          </w:p>
        </w:tc>
        <w:tc>
          <w:tcPr>
            <w:tcW w:w="7452" w:type="dxa"/>
          </w:tcPr>
          <w:p w14:paraId="2DD28130" w14:textId="77777777" w:rsidR="00617538" w:rsidRPr="00F731DB" w:rsidRDefault="00617538" w:rsidP="002A671A">
            <w:pPr>
              <w:pStyle w:val="Header"/>
              <w:pBdr>
                <w:bottom w:val="none" w:sz="0" w:space="0" w:color="auto"/>
              </w:pBd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lang w:val="en-US"/>
              </w:rPr>
            </w:pPr>
            <w:r w:rsidRPr="00F731DB">
              <w:rPr>
                <w:rFonts w:ascii="Times New Roman" w:eastAsia="Arial Unicode MS" w:hAnsi="Times New Roman"/>
                <w:b/>
                <w:sz w:val="22"/>
                <w:szCs w:val="22"/>
              </w:rPr>
              <w:t xml:space="preserve">one (1) contract with minimum value of AMD </w:t>
            </w:r>
            <w:r w:rsidRPr="00F731DB">
              <w:rPr>
                <w:rFonts w:ascii="Times New Roman" w:eastAsia="Arial Unicode MS" w:hAnsi="Times New Roman"/>
                <w:b/>
                <w:sz w:val="22"/>
                <w:szCs w:val="22"/>
                <w:lang w:val="en-US"/>
              </w:rPr>
              <w:t>5</w:t>
            </w:r>
            <w:r>
              <w:rPr>
                <w:rFonts w:ascii="Times New Roman" w:eastAsia="Arial Unicode MS" w:hAnsi="Times New Roman"/>
                <w:b/>
                <w:sz w:val="22"/>
                <w:szCs w:val="22"/>
                <w:lang w:val="en-US"/>
              </w:rPr>
              <w:t>29</w:t>
            </w:r>
            <w:r w:rsidRPr="00F731DB">
              <w:rPr>
                <w:rFonts w:ascii="Times New Roman" w:eastAsia="Arial Unicode MS" w:hAnsi="Times New Roman"/>
                <w:b/>
                <w:sz w:val="22"/>
                <w:szCs w:val="22"/>
              </w:rPr>
              <w:t xml:space="preserve">,000,000.00 (or its equivalent in </w:t>
            </w:r>
            <w:r w:rsidRPr="00F731DB">
              <w:rPr>
                <w:rFonts w:ascii="Times New Roman" w:eastAsia="Arial Unicode MS" w:hAnsi="Times New Roman"/>
                <w:b/>
                <w:sz w:val="22"/>
                <w:szCs w:val="22"/>
                <w:lang w:val="en-US"/>
              </w:rPr>
              <w:t>EUR or USD</w:t>
            </w:r>
            <w:r w:rsidRPr="00F731DB">
              <w:rPr>
                <w:rFonts w:ascii="Times New Roman" w:eastAsia="Arial Unicode MS" w:hAnsi="Times New Roman"/>
                <w:b/>
                <w:sz w:val="22"/>
                <w:szCs w:val="22"/>
              </w:rPr>
              <w:t>) OR</w:t>
            </w:r>
            <w:r w:rsidRPr="00F731DB">
              <w:rPr>
                <w:rFonts w:ascii="Times New Roman" w:eastAsia="Arial Unicode MS" w:hAnsi="Times New Roman"/>
                <w:b/>
                <w:sz w:val="22"/>
                <w:szCs w:val="22"/>
                <w:lang w:val="en-US"/>
              </w:rPr>
              <w:t xml:space="preserve"> </w:t>
            </w:r>
            <w:r w:rsidRPr="00F731DB">
              <w:rPr>
                <w:rFonts w:ascii="Times New Roman" w:eastAsia="Arial Unicode MS" w:hAnsi="Times New Roman"/>
                <w:b/>
                <w:sz w:val="22"/>
                <w:szCs w:val="22"/>
              </w:rPr>
              <w:t>two (2) contracts</w:t>
            </w:r>
            <w:r w:rsidRPr="00F731DB">
              <w:rPr>
                <w:rFonts w:ascii="Times New Roman" w:eastAsia="Arial Unicode MS" w:hAnsi="Times New Roman"/>
                <w:b/>
                <w:sz w:val="22"/>
                <w:szCs w:val="22"/>
                <w:lang w:val="hy-AM"/>
              </w:rPr>
              <w:t>*</w:t>
            </w:r>
            <w:r w:rsidRPr="00F731DB">
              <w:rPr>
                <w:rFonts w:ascii="Times New Roman" w:eastAsia="Arial Unicode MS" w:hAnsi="Times New Roman"/>
                <w:b/>
                <w:sz w:val="22"/>
                <w:szCs w:val="22"/>
              </w:rPr>
              <w:t xml:space="preserve"> each with minimum value of AMD </w:t>
            </w:r>
            <w:r>
              <w:rPr>
                <w:rFonts w:ascii="Times New Roman" w:eastAsia="Arial Unicode MS" w:hAnsi="Times New Roman"/>
                <w:b/>
                <w:sz w:val="22"/>
                <w:szCs w:val="22"/>
                <w:lang w:val="hy-AM"/>
              </w:rPr>
              <w:t>3</w:t>
            </w:r>
            <w:r w:rsidRPr="00F731DB">
              <w:rPr>
                <w:rFonts w:ascii="Times New Roman" w:eastAsia="Arial Unicode MS" w:hAnsi="Times New Roman"/>
                <w:b/>
                <w:sz w:val="22"/>
                <w:szCs w:val="22"/>
                <w:lang w:val="en-US"/>
              </w:rPr>
              <w:t>7</w:t>
            </w:r>
            <w:r>
              <w:rPr>
                <w:rFonts w:ascii="Times New Roman" w:eastAsia="Arial Unicode MS" w:hAnsi="Times New Roman"/>
                <w:b/>
                <w:sz w:val="22"/>
                <w:szCs w:val="22"/>
                <w:lang w:val="en-US"/>
              </w:rPr>
              <w:t>0</w:t>
            </w:r>
            <w:r w:rsidRPr="00F731DB">
              <w:rPr>
                <w:rFonts w:ascii="Times New Roman" w:eastAsia="Arial Unicode MS" w:hAnsi="Times New Roman"/>
                <w:b/>
                <w:sz w:val="22"/>
                <w:szCs w:val="22"/>
              </w:rPr>
              <w:t>,</w:t>
            </w:r>
            <w:r>
              <w:rPr>
                <w:rFonts w:ascii="Times New Roman" w:eastAsia="Arial Unicode MS" w:hAnsi="Times New Roman"/>
                <w:b/>
                <w:sz w:val="22"/>
                <w:szCs w:val="22"/>
                <w:lang w:val="en-US"/>
              </w:rPr>
              <w:t>3</w:t>
            </w:r>
            <w:r w:rsidRPr="00F731DB">
              <w:rPr>
                <w:rFonts w:ascii="Times New Roman" w:eastAsia="Arial Unicode MS" w:hAnsi="Times New Roman"/>
                <w:b/>
                <w:sz w:val="22"/>
                <w:szCs w:val="22"/>
              </w:rPr>
              <w:t>00,000.00</w:t>
            </w:r>
            <w:r w:rsidRPr="00F731DB">
              <w:rPr>
                <w:rFonts w:ascii="Times New Roman" w:hAnsi="Times New Roman"/>
                <w:b/>
                <w:sz w:val="22"/>
                <w:szCs w:val="22"/>
                <w:lang w:val="hy-AM"/>
              </w:rPr>
              <w:t xml:space="preserve"> </w:t>
            </w:r>
            <w:r w:rsidRPr="00F731DB">
              <w:rPr>
                <w:rFonts w:ascii="Times New Roman" w:eastAsia="Arial Unicode MS" w:hAnsi="Times New Roman"/>
                <w:b/>
                <w:sz w:val="22"/>
                <w:szCs w:val="22"/>
              </w:rPr>
              <w:t>(or its equivalent in EUR or USD)</w:t>
            </w:r>
            <w:r w:rsidRPr="00F731DB">
              <w:rPr>
                <w:rFonts w:ascii="Times New Roman" w:eastAsia="Arial Unicode MS" w:hAnsi="Times New Roman"/>
                <w:b/>
                <w:sz w:val="22"/>
                <w:szCs w:val="22"/>
                <w:lang w:val="en-US"/>
              </w:rPr>
              <w:t>;</w:t>
            </w:r>
          </w:p>
        </w:tc>
      </w:tr>
      <w:tr w:rsidR="00617538" w:rsidRPr="00F731DB" w14:paraId="7E852758" w14:textId="77777777" w:rsidTr="002A671A">
        <w:tc>
          <w:tcPr>
            <w:tcW w:w="828" w:type="dxa"/>
          </w:tcPr>
          <w:p w14:paraId="0B71F565" w14:textId="77777777" w:rsidR="00617538" w:rsidRPr="00F731DB" w:rsidRDefault="00617538" w:rsidP="002A671A">
            <w:r w:rsidRPr="00F731DB">
              <w:rPr>
                <w:b/>
                <w:sz w:val="22"/>
                <w:szCs w:val="22"/>
              </w:rPr>
              <w:t>Lot 6:</w:t>
            </w:r>
          </w:p>
        </w:tc>
        <w:tc>
          <w:tcPr>
            <w:tcW w:w="7452" w:type="dxa"/>
          </w:tcPr>
          <w:p w14:paraId="2DDFD1EC" w14:textId="77777777" w:rsidR="00617538" w:rsidRPr="00F731DB" w:rsidRDefault="00617538" w:rsidP="002A671A">
            <w:pPr>
              <w:pStyle w:val="Header"/>
              <w:pBdr>
                <w:bottom w:val="none" w:sz="0" w:space="0" w:color="auto"/>
              </w:pBd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lang w:val="en-US"/>
              </w:rPr>
            </w:pPr>
            <w:r w:rsidRPr="00F731DB">
              <w:rPr>
                <w:rFonts w:ascii="Times New Roman" w:eastAsia="Arial Unicode MS" w:hAnsi="Times New Roman"/>
                <w:b/>
                <w:sz w:val="22"/>
                <w:szCs w:val="22"/>
              </w:rPr>
              <w:t xml:space="preserve">one (1) contract with minimum value of AMD </w:t>
            </w:r>
            <w:r w:rsidRPr="00F731DB">
              <w:rPr>
                <w:rFonts w:ascii="Times New Roman" w:eastAsia="Arial Unicode MS" w:hAnsi="Times New Roman"/>
                <w:b/>
                <w:sz w:val="22"/>
                <w:szCs w:val="22"/>
                <w:lang w:val="en-US"/>
              </w:rPr>
              <w:t>4</w:t>
            </w:r>
            <w:r>
              <w:rPr>
                <w:rFonts w:ascii="Times New Roman" w:eastAsia="Arial Unicode MS" w:hAnsi="Times New Roman"/>
                <w:b/>
                <w:sz w:val="22"/>
                <w:szCs w:val="22"/>
                <w:lang w:val="en-US"/>
              </w:rPr>
              <w:t>62</w:t>
            </w:r>
            <w:r w:rsidRPr="00F731DB">
              <w:rPr>
                <w:rFonts w:ascii="Times New Roman" w:eastAsia="Arial Unicode MS" w:hAnsi="Times New Roman"/>
                <w:b/>
                <w:sz w:val="22"/>
                <w:szCs w:val="22"/>
              </w:rPr>
              <w:t xml:space="preserve">,000,000.00 (or its equivalent in </w:t>
            </w:r>
            <w:r w:rsidRPr="00F731DB">
              <w:rPr>
                <w:rFonts w:ascii="Times New Roman" w:eastAsia="Arial Unicode MS" w:hAnsi="Times New Roman"/>
                <w:b/>
                <w:sz w:val="22"/>
                <w:szCs w:val="22"/>
                <w:lang w:val="en-US"/>
              </w:rPr>
              <w:t>EUR or USD</w:t>
            </w:r>
            <w:r w:rsidRPr="00F731DB">
              <w:rPr>
                <w:rFonts w:ascii="Times New Roman" w:eastAsia="Arial Unicode MS" w:hAnsi="Times New Roman"/>
                <w:b/>
                <w:sz w:val="22"/>
                <w:szCs w:val="22"/>
              </w:rPr>
              <w:t>) OR</w:t>
            </w:r>
            <w:r w:rsidRPr="00F731DB">
              <w:rPr>
                <w:rFonts w:ascii="Times New Roman" w:eastAsia="Arial Unicode MS" w:hAnsi="Times New Roman"/>
                <w:b/>
                <w:sz w:val="22"/>
                <w:szCs w:val="22"/>
                <w:lang w:val="en-US"/>
              </w:rPr>
              <w:t xml:space="preserve"> </w:t>
            </w:r>
            <w:r w:rsidRPr="00F731DB">
              <w:rPr>
                <w:rFonts w:ascii="Times New Roman" w:eastAsia="Arial Unicode MS" w:hAnsi="Times New Roman"/>
                <w:b/>
                <w:sz w:val="22"/>
                <w:szCs w:val="22"/>
              </w:rPr>
              <w:t>two (2) contracts</w:t>
            </w:r>
            <w:r w:rsidRPr="00F731DB">
              <w:rPr>
                <w:rFonts w:ascii="Times New Roman" w:eastAsia="Arial Unicode MS" w:hAnsi="Times New Roman"/>
                <w:b/>
                <w:sz w:val="22"/>
                <w:szCs w:val="22"/>
                <w:lang w:val="hy-AM"/>
              </w:rPr>
              <w:t>*</w:t>
            </w:r>
            <w:r w:rsidRPr="00F731DB">
              <w:rPr>
                <w:rFonts w:ascii="Times New Roman" w:eastAsia="Arial Unicode MS" w:hAnsi="Times New Roman"/>
                <w:b/>
                <w:sz w:val="22"/>
                <w:szCs w:val="22"/>
              </w:rPr>
              <w:t xml:space="preserve"> each with minimum value of AMD </w:t>
            </w:r>
            <w:r w:rsidRPr="00F731DB">
              <w:rPr>
                <w:rFonts w:ascii="Times New Roman" w:eastAsia="Arial Unicode MS" w:hAnsi="Times New Roman"/>
                <w:b/>
                <w:sz w:val="22"/>
                <w:szCs w:val="22"/>
                <w:lang w:val="en-US"/>
              </w:rPr>
              <w:t>3</w:t>
            </w:r>
            <w:r>
              <w:rPr>
                <w:rFonts w:ascii="Times New Roman" w:eastAsia="Arial Unicode MS" w:hAnsi="Times New Roman"/>
                <w:b/>
                <w:sz w:val="22"/>
                <w:szCs w:val="22"/>
                <w:lang w:val="hy-AM"/>
              </w:rPr>
              <w:t>2</w:t>
            </w:r>
            <w:r>
              <w:rPr>
                <w:rFonts w:ascii="Times New Roman" w:eastAsia="Arial Unicode MS" w:hAnsi="Times New Roman"/>
                <w:b/>
                <w:sz w:val="22"/>
                <w:szCs w:val="22"/>
                <w:lang w:val="en-US"/>
              </w:rPr>
              <w:t>3</w:t>
            </w:r>
            <w:r w:rsidRPr="00F731DB">
              <w:rPr>
                <w:rFonts w:ascii="Times New Roman" w:eastAsia="Arial Unicode MS" w:hAnsi="Times New Roman"/>
                <w:b/>
                <w:sz w:val="22"/>
                <w:szCs w:val="22"/>
              </w:rPr>
              <w:t>,</w:t>
            </w:r>
            <w:r>
              <w:rPr>
                <w:rFonts w:ascii="Times New Roman" w:eastAsia="Arial Unicode MS" w:hAnsi="Times New Roman"/>
                <w:b/>
                <w:sz w:val="22"/>
                <w:szCs w:val="22"/>
                <w:lang w:val="en-US"/>
              </w:rPr>
              <w:t>4</w:t>
            </w:r>
            <w:r w:rsidRPr="00F731DB">
              <w:rPr>
                <w:rFonts w:ascii="Times New Roman" w:eastAsia="Arial Unicode MS" w:hAnsi="Times New Roman"/>
                <w:b/>
                <w:sz w:val="22"/>
                <w:szCs w:val="22"/>
              </w:rPr>
              <w:t>00,000.00</w:t>
            </w:r>
            <w:r w:rsidRPr="00F731DB">
              <w:rPr>
                <w:rFonts w:ascii="Times New Roman" w:hAnsi="Times New Roman"/>
                <w:b/>
                <w:sz w:val="22"/>
                <w:szCs w:val="22"/>
                <w:lang w:val="hy-AM"/>
              </w:rPr>
              <w:t xml:space="preserve"> </w:t>
            </w:r>
            <w:r w:rsidRPr="00F731DB">
              <w:rPr>
                <w:rFonts w:ascii="Times New Roman" w:eastAsia="Arial Unicode MS" w:hAnsi="Times New Roman"/>
                <w:b/>
                <w:sz w:val="22"/>
                <w:szCs w:val="22"/>
              </w:rPr>
              <w:t>(or its equivalent in EUR or USD)</w:t>
            </w:r>
            <w:r w:rsidRPr="00F731DB">
              <w:rPr>
                <w:rFonts w:ascii="Times New Roman" w:eastAsia="Arial Unicode MS" w:hAnsi="Times New Roman"/>
                <w:b/>
                <w:sz w:val="22"/>
                <w:szCs w:val="22"/>
                <w:lang w:val="en-US"/>
              </w:rPr>
              <w:t>;</w:t>
            </w:r>
          </w:p>
        </w:tc>
      </w:tr>
      <w:tr w:rsidR="00617538" w:rsidRPr="00F731DB" w14:paraId="0423DA42" w14:textId="77777777" w:rsidTr="002A671A">
        <w:tc>
          <w:tcPr>
            <w:tcW w:w="828" w:type="dxa"/>
          </w:tcPr>
          <w:p w14:paraId="5543484A" w14:textId="77777777" w:rsidR="00617538" w:rsidRPr="00F731DB" w:rsidRDefault="00617538" w:rsidP="002A671A">
            <w:pPr>
              <w:rPr>
                <w:b/>
                <w:sz w:val="22"/>
                <w:szCs w:val="22"/>
              </w:rPr>
            </w:pPr>
            <w:r w:rsidRPr="00F731DB">
              <w:rPr>
                <w:b/>
                <w:sz w:val="22"/>
                <w:szCs w:val="22"/>
              </w:rPr>
              <w:t>Lot 7:</w:t>
            </w:r>
          </w:p>
        </w:tc>
        <w:tc>
          <w:tcPr>
            <w:tcW w:w="7452" w:type="dxa"/>
          </w:tcPr>
          <w:p w14:paraId="11391953" w14:textId="77777777" w:rsidR="00617538" w:rsidRPr="00F731DB" w:rsidRDefault="00617538" w:rsidP="002A671A">
            <w:pPr>
              <w:pStyle w:val="Header"/>
              <w:pBdr>
                <w:bottom w:val="none" w:sz="0" w:space="0" w:color="auto"/>
              </w:pBd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eastAsia="Arial Unicode MS" w:hAnsi="Times New Roman"/>
                <w:b/>
                <w:sz w:val="22"/>
                <w:szCs w:val="22"/>
                <w:lang w:val="en-US"/>
              </w:rPr>
            </w:pPr>
            <w:r w:rsidRPr="00F731DB">
              <w:rPr>
                <w:rFonts w:ascii="Times New Roman" w:eastAsia="Arial Unicode MS" w:hAnsi="Times New Roman"/>
                <w:b/>
                <w:sz w:val="22"/>
                <w:szCs w:val="22"/>
              </w:rPr>
              <w:t xml:space="preserve">one (1) contract with minimum value of AMD </w:t>
            </w:r>
            <w:r w:rsidRPr="00F731DB">
              <w:rPr>
                <w:rFonts w:ascii="Times New Roman" w:eastAsia="Arial Unicode MS" w:hAnsi="Times New Roman"/>
                <w:b/>
                <w:sz w:val="22"/>
                <w:szCs w:val="22"/>
                <w:lang w:val="en-US"/>
              </w:rPr>
              <w:t>5</w:t>
            </w:r>
            <w:r>
              <w:rPr>
                <w:rFonts w:ascii="Times New Roman" w:eastAsia="Arial Unicode MS" w:hAnsi="Times New Roman"/>
                <w:b/>
                <w:sz w:val="22"/>
                <w:szCs w:val="22"/>
                <w:lang w:val="en-US"/>
              </w:rPr>
              <w:t>0</w:t>
            </w:r>
            <w:r w:rsidRPr="00F731DB">
              <w:rPr>
                <w:rFonts w:ascii="Times New Roman" w:eastAsia="Arial Unicode MS" w:hAnsi="Times New Roman"/>
                <w:b/>
                <w:sz w:val="22"/>
                <w:szCs w:val="22"/>
                <w:lang w:val="en-US"/>
              </w:rPr>
              <w:t>8</w:t>
            </w:r>
            <w:r w:rsidRPr="00F731DB">
              <w:rPr>
                <w:rFonts w:ascii="Times New Roman" w:eastAsia="Arial Unicode MS" w:hAnsi="Times New Roman"/>
                <w:b/>
                <w:sz w:val="22"/>
                <w:szCs w:val="22"/>
              </w:rPr>
              <w:t xml:space="preserve">,000,000.00 (or its equivalent in </w:t>
            </w:r>
            <w:r w:rsidRPr="00F731DB">
              <w:rPr>
                <w:rFonts w:ascii="Times New Roman" w:eastAsia="Arial Unicode MS" w:hAnsi="Times New Roman"/>
                <w:b/>
                <w:sz w:val="22"/>
                <w:szCs w:val="22"/>
                <w:lang w:val="en-US"/>
              </w:rPr>
              <w:t>EUR or USD</w:t>
            </w:r>
            <w:r w:rsidRPr="00F731DB">
              <w:rPr>
                <w:rFonts w:ascii="Times New Roman" w:eastAsia="Arial Unicode MS" w:hAnsi="Times New Roman"/>
                <w:b/>
                <w:sz w:val="22"/>
                <w:szCs w:val="22"/>
              </w:rPr>
              <w:t>) OR</w:t>
            </w:r>
            <w:r w:rsidRPr="00F731DB">
              <w:rPr>
                <w:rFonts w:ascii="Times New Roman" w:eastAsia="Arial Unicode MS" w:hAnsi="Times New Roman"/>
                <w:b/>
                <w:sz w:val="22"/>
                <w:szCs w:val="22"/>
                <w:lang w:val="en-US"/>
              </w:rPr>
              <w:t xml:space="preserve"> </w:t>
            </w:r>
            <w:r w:rsidRPr="00F731DB">
              <w:rPr>
                <w:rFonts w:ascii="Times New Roman" w:eastAsia="Arial Unicode MS" w:hAnsi="Times New Roman"/>
                <w:b/>
                <w:sz w:val="22"/>
                <w:szCs w:val="22"/>
              </w:rPr>
              <w:t>two (2) contracts</w:t>
            </w:r>
            <w:r w:rsidRPr="00F731DB">
              <w:rPr>
                <w:rFonts w:ascii="Times New Roman" w:eastAsia="Arial Unicode MS" w:hAnsi="Times New Roman"/>
                <w:b/>
                <w:sz w:val="22"/>
                <w:szCs w:val="22"/>
                <w:lang w:val="hy-AM"/>
              </w:rPr>
              <w:t>*</w:t>
            </w:r>
            <w:r w:rsidRPr="00F731DB">
              <w:rPr>
                <w:rFonts w:ascii="Times New Roman" w:eastAsia="Arial Unicode MS" w:hAnsi="Times New Roman"/>
                <w:b/>
                <w:sz w:val="22"/>
                <w:szCs w:val="22"/>
              </w:rPr>
              <w:t xml:space="preserve"> each with minimum value of AMD </w:t>
            </w:r>
            <w:r>
              <w:rPr>
                <w:rFonts w:ascii="Times New Roman" w:eastAsia="Arial Unicode MS" w:hAnsi="Times New Roman"/>
                <w:b/>
                <w:sz w:val="22"/>
                <w:szCs w:val="22"/>
                <w:lang w:val="hy-AM"/>
              </w:rPr>
              <w:t>3</w:t>
            </w:r>
            <w:r>
              <w:rPr>
                <w:rFonts w:ascii="Times New Roman" w:eastAsia="Arial Unicode MS" w:hAnsi="Times New Roman"/>
                <w:b/>
                <w:sz w:val="22"/>
                <w:szCs w:val="22"/>
                <w:lang w:val="en-US"/>
              </w:rPr>
              <w:t>55</w:t>
            </w:r>
            <w:r w:rsidRPr="00F731DB">
              <w:rPr>
                <w:rFonts w:ascii="Times New Roman" w:eastAsia="Arial Unicode MS" w:hAnsi="Times New Roman"/>
                <w:b/>
                <w:sz w:val="22"/>
                <w:szCs w:val="22"/>
              </w:rPr>
              <w:t>,</w:t>
            </w:r>
            <w:r>
              <w:rPr>
                <w:rFonts w:ascii="Times New Roman" w:eastAsia="Arial Unicode MS" w:hAnsi="Times New Roman"/>
                <w:b/>
                <w:sz w:val="22"/>
                <w:szCs w:val="22"/>
                <w:lang w:val="hy-AM"/>
              </w:rPr>
              <w:t>6</w:t>
            </w:r>
            <w:r w:rsidRPr="00F731DB">
              <w:rPr>
                <w:rFonts w:ascii="Times New Roman" w:eastAsia="Arial Unicode MS" w:hAnsi="Times New Roman"/>
                <w:b/>
                <w:sz w:val="22"/>
                <w:szCs w:val="22"/>
              </w:rPr>
              <w:t>00,000.00</w:t>
            </w:r>
            <w:r w:rsidRPr="00F731DB">
              <w:rPr>
                <w:rFonts w:ascii="Times New Roman" w:hAnsi="Times New Roman"/>
                <w:b/>
                <w:sz w:val="22"/>
                <w:szCs w:val="22"/>
                <w:lang w:val="hy-AM"/>
              </w:rPr>
              <w:t xml:space="preserve"> </w:t>
            </w:r>
            <w:r w:rsidRPr="00F731DB">
              <w:rPr>
                <w:rFonts w:ascii="Times New Roman" w:eastAsia="Arial Unicode MS" w:hAnsi="Times New Roman"/>
                <w:b/>
                <w:sz w:val="22"/>
                <w:szCs w:val="22"/>
              </w:rPr>
              <w:t>(or its equivalent in EUR or USD)</w:t>
            </w:r>
            <w:r>
              <w:rPr>
                <w:rFonts w:ascii="Times New Roman" w:eastAsia="Arial Unicode MS" w:hAnsi="Times New Roman"/>
                <w:b/>
                <w:sz w:val="22"/>
                <w:szCs w:val="22"/>
                <w:lang w:val="en-US"/>
              </w:rPr>
              <w:t>.</w:t>
            </w:r>
          </w:p>
          <w:p w14:paraId="568D41D8" w14:textId="77777777" w:rsidR="00617538" w:rsidRPr="00F731DB" w:rsidRDefault="00617538" w:rsidP="002A671A">
            <w:pPr>
              <w:pStyle w:val="Header"/>
              <w:pBdr>
                <w:bottom w:val="none" w:sz="0" w:space="0" w:color="auto"/>
              </w:pBd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eastAsia="Arial Unicode MS" w:hAnsi="Times New Roman"/>
                <w:b/>
                <w:sz w:val="22"/>
                <w:szCs w:val="22"/>
              </w:rPr>
            </w:pPr>
          </w:p>
        </w:tc>
      </w:tr>
      <w:tr w:rsidR="00617538" w:rsidRPr="00AE51F0" w14:paraId="474FCB9A" w14:textId="77777777" w:rsidTr="002A671A">
        <w:tc>
          <w:tcPr>
            <w:tcW w:w="828" w:type="dxa"/>
          </w:tcPr>
          <w:p w14:paraId="6E78C0D5" w14:textId="77777777" w:rsidR="00617538" w:rsidRPr="00FC4B6A" w:rsidRDefault="00617538" w:rsidP="002A671A">
            <w:pPr>
              <w:jc w:val="both"/>
              <w:rPr>
                <w:b/>
                <w:i/>
                <w:sz w:val="22"/>
                <w:szCs w:val="22"/>
              </w:rPr>
            </w:pPr>
            <w:bookmarkStart w:id="9" w:name="_Hlk206061923"/>
            <w:bookmarkEnd w:id="8"/>
            <w:r w:rsidRPr="00FC4B6A">
              <w:rPr>
                <w:b/>
                <w:i/>
                <w:sz w:val="22"/>
                <w:szCs w:val="22"/>
                <w:lang w:val="hy-AM"/>
              </w:rPr>
              <w:t>*</w:t>
            </w:r>
            <w:r w:rsidRPr="00FC4B6A">
              <w:rPr>
                <w:b/>
                <w:i/>
                <w:sz w:val="22"/>
                <w:szCs w:val="22"/>
              </w:rPr>
              <w:t>Note:</w:t>
            </w:r>
          </w:p>
        </w:tc>
        <w:tc>
          <w:tcPr>
            <w:tcW w:w="7452" w:type="dxa"/>
          </w:tcPr>
          <w:p w14:paraId="298AA7B0" w14:textId="77777777" w:rsidR="00617538" w:rsidRPr="00FC4B6A" w:rsidRDefault="00617538" w:rsidP="002A671A">
            <w:pPr>
              <w:pStyle w:val="Header"/>
              <w:pBdr>
                <w:bottom w:val="none" w:sz="0" w:space="0" w:color="auto"/>
              </w:pBd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eastAsia="Arial Unicode MS" w:hAnsi="Times New Roman"/>
                <w:b/>
                <w:i/>
                <w:color w:val="0000FF"/>
                <w:sz w:val="22"/>
                <w:szCs w:val="22"/>
                <w:lang w:val="en-US"/>
              </w:rPr>
            </w:pPr>
            <w:r w:rsidRPr="00FC4B6A">
              <w:rPr>
                <w:rFonts w:ascii="Times New Roman" w:hAnsi="Times New Roman"/>
                <w:b/>
                <w:i/>
                <w:color w:val="FF0000"/>
                <w:sz w:val="22"/>
                <w:szCs w:val="22"/>
              </w:rPr>
              <w:t>the time interval between two (2) contracts should be no more than three (3) years</w:t>
            </w:r>
            <w:r w:rsidRPr="00FC4B6A">
              <w:rPr>
                <w:rFonts w:ascii="Times New Roman" w:hAnsi="Times New Roman"/>
                <w:b/>
                <w:i/>
                <w:color w:val="FF0000"/>
                <w:sz w:val="22"/>
                <w:szCs w:val="22"/>
                <w:lang w:val="en-US"/>
              </w:rPr>
              <w:t>.</w:t>
            </w:r>
          </w:p>
        </w:tc>
      </w:tr>
      <w:bookmarkEnd w:id="9"/>
    </w:tbl>
    <w:p w14:paraId="5B42A36B" w14:textId="77777777" w:rsidR="00617538" w:rsidRPr="00B7187C" w:rsidRDefault="00617538" w:rsidP="00617538">
      <w:pPr>
        <w:pStyle w:val="FootnoteText"/>
        <w:tabs>
          <w:tab w:val="clear" w:pos="360"/>
          <w:tab w:val="left" w:pos="0"/>
        </w:tabs>
        <w:ind w:left="0" w:firstLine="0"/>
        <w:jc w:val="both"/>
        <w:rPr>
          <w:b/>
          <w:color w:val="0000FF"/>
          <w:sz w:val="22"/>
          <w:szCs w:val="22"/>
        </w:rPr>
      </w:pPr>
    </w:p>
    <w:p w14:paraId="26841CDC" w14:textId="77777777" w:rsidR="00617538" w:rsidRPr="00B7187C" w:rsidRDefault="00617538" w:rsidP="00617538">
      <w:pPr>
        <w:pStyle w:val="Header"/>
        <w:pBdr>
          <w:bottom w:val="none" w:sz="0" w:space="0" w:color="auto"/>
        </w:pBd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ind w:left="360"/>
        <w:rPr>
          <w:rFonts w:ascii="Times New Roman" w:hAnsi="Times New Roman"/>
          <w:sz w:val="22"/>
          <w:szCs w:val="22"/>
        </w:rPr>
      </w:pPr>
      <w:r w:rsidRPr="00B7187C">
        <w:rPr>
          <w:rFonts w:ascii="Times New Roman" w:hAnsi="Times New Roman"/>
          <w:sz w:val="22"/>
          <w:szCs w:val="22"/>
        </w:rPr>
        <w:t xml:space="preserve">-For the above and any other contracts substantially completed as Prime Contractor, Joint venture member, or Sub-contractor between </w:t>
      </w:r>
      <w:r w:rsidRPr="000003C2">
        <w:rPr>
          <w:rFonts w:ascii="Times New Roman" w:hAnsi="Times New Roman"/>
          <w:b/>
          <w:sz w:val="22"/>
          <w:szCs w:val="22"/>
        </w:rPr>
        <w:t>1</w:t>
      </w:r>
      <w:r w:rsidRPr="000003C2">
        <w:rPr>
          <w:rFonts w:ascii="Times New Roman" w:hAnsi="Times New Roman"/>
          <w:b/>
          <w:sz w:val="22"/>
          <w:szCs w:val="22"/>
          <w:vertAlign w:val="superscript"/>
        </w:rPr>
        <w:t>st</w:t>
      </w:r>
      <w:r w:rsidRPr="000003C2">
        <w:rPr>
          <w:rFonts w:ascii="Times New Roman" w:hAnsi="Times New Roman"/>
          <w:b/>
          <w:sz w:val="22"/>
          <w:szCs w:val="22"/>
        </w:rPr>
        <w:t xml:space="preserve"> January 20</w:t>
      </w:r>
      <w:r w:rsidRPr="000003C2">
        <w:rPr>
          <w:rFonts w:ascii="Times New Roman" w:hAnsi="Times New Roman"/>
          <w:b/>
          <w:sz w:val="22"/>
          <w:szCs w:val="22"/>
          <w:lang w:val="en-US"/>
        </w:rPr>
        <w:t>20</w:t>
      </w:r>
      <w:r w:rsidRPr="00B7187C">
        <w:rPr>
          <w:rFonts w:ascii="Times New Roman" w:hAnsi="Times New Roman"/>
          <w:sz w:val="22"/>
          <w:szCs w:val="22"/>
        </w:rPr>
        <w:t xml:space="preserve"> and Bid submission deadline, a minimum experience in the following key activities successfully completed</w:t>
      </w:r>
      <w:r>
        <w:rPr>
          <w:rFonts w:ascii="Times New Roman" w:hAnsi="Times New Roman"/>
          <w:sz w:val="22"/>
          <w:szCs w:val="22"/>
          <w:lang w:val="en-US"/>
        </w:rPr>
        <w:t xml:space="preserve"> for </w:t>
      </w:r>
      <w:r w:rsidRPr="003A3C78">
        <w:rPr>
          <w:rFonts w:ascii="Times New Roman" w:hAnsi="Times New Roman"/>
          <w:b/>
          <w:sz w:val="22"/>
          <w:szCs w:val="22"/>
          <w:u w:val="single"/>
          <w:lang w:val="en-US"/>
        </w:rPr>
        <w:t>each lot</w:t>
      </w:r>
      <w:r w:rsidRPr="00B7187C">
        <w:rPr>
          <w:rFonts w:ascii="Times New Roman" w:hAnsi="Times New Roman"/>
          <w:sz w:val="22"/>
          <w:szCs w:val="22"/>
        </w:rPr>
        <w:t>:</w:t>
      </w:r>
    </w:p>
    <w:p w14:paraId="3553E75C" w14:textId="77777777" w:rsidR="00617538" w:rsidRPr="00B7187C" w:rsidRDefault="00617538" w:rsidP="00617538">
      <w:pPr>
        <w:pStyle w:val="Style11"/>
        <w:tabs>
          <w:tab w:val="left" w:leader="dot" w:pos="8424"/>
        </w:tabs>
        <w:spacing w:line="240" w:lineRule="auto"/>
        <w:rPr>
          <w:sz w:val="22"/>
          <w:szCs w:val="22"/>
        </w:rPr>
      </w:pPr>
    </w:p>
    <w:p w14:paraId="6EDF7A2D" w14:textId="77777777" w:rsidR="00617538" w:rsidRPr="005E0E13" w:rsidRDefault="00617538" w:rsidP="00617538">
      <w:pPr>
        <w:pStyle w:val="Style11"/>
        <w:tabs>
          <w:tab w:val="left" w:leader="dot" w:pos="8424"/>
        </w:tabs>
        <w:spacing w:line="240" w:lineRule="auto"/>
        <w:jc w:val="both"/>
        <w:rPr>
          <w:b/>
          <w:sz w:val="22"/>
          <w:szCs w:val="22"/>
        </w:rPr>
      </w:pPr>
      <w:r w:rsidRPr="005E0E13">
        <w:rPr>
          <w:b/>
          <w:sz w:val="22"/>
          <w:szCs w:val="22"/>
        </w:rPr>
        <w:t>-</w:t>
      </w:r>
      <w:r w:rsidRPr="005E0E13">
        <w:t xml:space="preserve"> </w:t>
      </w:r>
      <w:r w:rsidRPr="005E0E13">
        <w:rPr>
          <w:b/>
          <w:sz w:val="22"/>
          <w:szCs w:val="22"/>
        </w:rPr>
        <w:t>Thermal insulation of buildings</w:t>
      </w:r>
      <w:r>
        <w:rPr>
          <w:b/>
          <w:sz w:val="22"/>
          <w:szCs w:val="22"/>
          <w:vertAlign w:val="superscript"/>
        </w:rPr>
        <w:t xml:space="preserve"> (*)</w:t>
      </w:r>
      <w:r>
        <w:rPr>
          <w:b/>
          <w:sz w:val="22"/>
          <w:szCs w:val="22"/>
        </w:rPr>
        <w:t>: at least</w:t>
      </w:r>
      <w:r w:rsidRPr="005E0E13">
        <w:rPr>
          <w:b/>
          <w:sz w:val="22"/>
          <w:szCs w:val="22"/>
        </w:rPr>
        <w:t xml:space="preserve"> 2,000m² (in any year within the period indicated above).</w:t>
      </w:r>
    </w:p>
    <w:p w14:paraId="0E5F14AD" w14:textId="77777777" w:rsidR="00617538" w:rsidRPr="005E0E13" w:rsidRDefault="00617538" w:rsidP="00617538">
      <w:pPr>
        <w:pStyle w:val="Style11"/>
        <w:tabs>
          <w:tab w:val="left" w:leader="dot" w:pos="8424"/>
        </w:tabs>
        <w:spacing w:line="240" w:lineRule="auto"/>
        <w:jc w:val="both"/>
        <w:rPr>
          <w:b/>
          <w:sz w:val="22"/>
          <w:szCs w:val="22"/>
        </w:rPr>
      </w:pPr>
    </w:p>
    <w:p w14:paraId="70A8DBEE" w14:textId="77777777" w:rsidR="00617538" w:rsidRDefault="00617538" w:rsidP="00617538">
      <w:pPr>
        <w:pStyle w:val="Style11"/>
        <w:tabs>
          <w:tab w:val="left" w:leader="dot" w:pos="8424"/>
        </w:tabs>
        <w:spacing w:line="240" w:lineRule="auto"/>
        <w:jc w:val="both"/>
        <w:rPr>
          <w:b/>
          <w:color w:val="0000FF"/>
          <w:sz w:val="22"/>
          <w:szCs w:val="22"/>
        </w:rPr>
      </w:pPr>
    </w:p>
    <w:p w14:paraId="190A2450" w14:textId="77777777" w:rsidR="00617538" w:rsidRDefault="00617538" w:rsidP="00617538">
      <w:pPr>
        <w:pStyle w:val="FootnoteText"/>
        <w:tabs>
          <w:tab w:val="clear" w:pos="360"/>
          <w:tab w:val="left" w:pos="0"/>
        </w:tabs>
        <w:ind w:left="0" w:firstLine="0"/>
        <w:jc w:val="both"/>
        <w:rPr>
          <w:i/>
          <w:sz w:val="22"/>
          <w:szCs w:val="22"/>
        </w:rPr>
      </w:pPr>
      <w:r w:rsidRPr="002F6BA4">
        <w:rPr>
          <w:i/>
          <w:sz w:val="22"/>
          <w:szCs w:val="22"/>
        </w:rPr>
        <w:t>(</w:t>
      </w:r>
      <w:r>
        <w:rPr>
          <w:i/>
          <w:sz w:val="22"/>
          <w:szCs w:val="22"/>
          <w:vertAlign w:val="superscript"/>
        </w:rPr>
        <w:t>(</w:t>
      </w:r>
      <w:proofErr w:type="gramStart"/>
      <w:r>
        <w:rPr>
          <w:i/>
          <w:sz w:val="22"/>
          <w:szCs w:val="22"/>
          <w:vertAlign w:val="superscript"/>
        </w:rPr>
        <w:t>*)</w:t>
      </w:r>
      <w:r w:rsidRPr="009B2025">
        <w:rPr>
          <w:b/>
          <w:bCs/>
          <w:i/>
          <w:sz w:val="22"/>
          <w:szCs w:val="22"/>
          <w:u w:val="single"/>
        </w:rPr>
        <w:t>Note</w:t>
      </w:r>
      <w:proofErr w:type="gramEnd"/>
      <w:r w:rsidRPr="009B2025">
        <w:rPr>
          <w:b/>
          <w:bCs/>
          <w:i/>
          <w:sz w:val="22"/>
          <w:szCs w:val="22"/>
          <w:u w:val="single"/>
        </w:rPr>
        <w:t>:</w:t>
      </w:r>
      <w:r w:rsidRPr="002F6BA4">
        <w:rPr>
          <w:i/>
          <w:sz w:val="22"/>
          <w:szCs w:val="22"/>
        </w:rPr>
        <w:t xml:space="preserve"> </w:t>
      </w:r>
      <w:r w:rsidRPr="002D70FE">
        <w:rPr>
          <w:i/>
          <w:sz w:val="22"/>
          <w:szCs w:val="22"/>
        </w:rPr>
        <w:t>The required key activity may be demonstrated in one or</w:t>
      </w:r>
      <w:r>
        <w:rPr>
          <w:i/>
          <w:sz w:val="22"/>
          <w:szCs w:val="22"/>
        </w:rPr>
        <w:t xml:space="preserve"> </w:t>
      </w:r>
      <w:r w:rsidRPr="008E339C">
        <w:rPr>
          <w:i/>
          <w:sz w:val="22"/>
          <w:szCs w:val="22"/>
        </w:rPr>
        <w:t>a combination of up to three (3) contracts</w:t>
      </w:r>
      <w:r>
        <w:rPr>
          <w:i/>
          <w:sz w:val="22"/>
          <w:szCs w:val="22"/>
        </w:rPr>
        <w:t xml:space="preserve">, provided </w:t>
      </w:r>
      <w:r w:rsidRPr="007D777A">
        <w:rPr>
          <w:i/>
          <w:sz w:val="22"/>
          <w:szCs w:val="22"/>
        </w:rPr>
        <w:t>that they were executed</w:t>
      </w:r>
      <w:r w:rsidRPr="002D70FE">
        <w:rPr>
          <w:i/>
          <w:sz w:val="22"/>
          <w:szCs w:val="22"/>
        </w:rPr>
        <w:t xml:space="preserve"> during the same time period</w:t>
      </w:r>
      <w:r>
        <w:rPr>
          <w:i/>
          <w:sz w:val="22"/>
          <w:szCs w:val="22"/>
        </w:rPr>
        <w:t>,</w:t>
      </w:r>
      <w:r w:rsidRPr="002F6BA4">
        <w:rPr>
          <w:i/>
          <w:sz w:val="22"/>
          <w:szCs w:val="22"/>
        </w:rPr>
        <w:t xml:space="preserve"> i.e.</w:t>
      </w:r>
      <w:r>
        <w:rPr>
          <w:i/>
          <w:sz w:val="22"/>
          <w:szCs w:val="22"/>
        </w:rPr>
        <w:t>,</w:t>
      </w:r>
      <w:r w:rsidRPr="002F6BA4">
        <w:rPr>
          <w:i/>
          <w:sz w:val="22"/>
          <w:szCs w:val="22"/>
        </w:rPr>
        <w:t xml:space="preserve"> in any one year between 1</w:t>
      </w:r>
      <w:r w:rsidRPr="009B2025">
        <w:rPr>
          <w:i/>
          <w:sz w:val="22"/>
          <w:szCs w:val="22"/>
          <w:vertAlign w:val="superscript"/>
        </w:rPr>
        <w:t>st</w:t>
      </w:r>
      <w:r w:rsidRPr="002F6BA4">
        <w:rPr>
          <w:i/>
          <w:sz w:val="22"/>
          <w:szCs w:val="22"/>
        </w:rPr>
        <w:t xml:space="preserve"> January 20</w:t>
      </w:r>
      <w:r>
        <w:rPr>
          <w:i/>
          <w:sz w:val="22"/>
          <w:szCs w:val="22"/>
        </w:rPr>
        <w:t>20</w:t>
      </w:r>
      <w:r w:rsidRPr="002F6BA4">
        <w:rPr>
          <w:i/>
          <w:sz w:val="22"/>
          <w:szCs w:val="22"/>
        </w:rPr>
        <w:t xml:space="preserve"> and </w:t>
      </w:r>
      <w:r>
        <w:rPr>
          <w:i/>
          <w:sz w:val="22"/>
          <w:szCs w:val="22"/>
        </w:rPr>
        <w:t>Bid</w:t>
      </w:r>
      <w:r w:rsidRPr="002F6BA4">
        <w:rPr>
          <w:i/>
          <w:sz w:val="22"/>
          <w:szCs w:val="22"/>
        </w:rPr>
        <w:t xml:space="preserve"> submission deadline</w:t>
      </w:r>
      <w:r>
        <w:rPr>
          <w:i/>
          <w:sz w:val="22"/>
          <w:szCs w:val="22"/>
        </w:rPr>
        <w:t>)</w:t>
      </w:r>
      <w:r w:rsidRPr="002D70FE">
        <w:rPr>
          <w:i/>
          <w:sz w:val="22"/>
          <w:szCs w:val="22"/>
        </w:rPr>
        <w:t>.</w:t>
      </w:r>
    </w:p>
    <w:p w14:paraId="351FC570" w14:textId="77777777" w:rsidR="00617538" w:rsidRDefault="00617538" w:rsidP="00617538">
      <w:pPr>
        <w:pStyle w:val="FootnoteText"/>
        <w:tabs>
          <w:tab w:val="clear" w:pos="360"/>
          <w:tab w:val="left" w:pos="0"/>
        </w:tabs>
        <w:ind w:left="0" w:firstLine="0"/>
        <w:jc w:val="both"/>
        <w:rPr>
          <w:b/>
          <w:color w:val="0000FF"/>
          <w:sz w:val="22"/>
          <w:szCs w:val="22"/>
        </w:rPr>
      </w:pPr>
    </w:p>
    <w:p w14:paraId="1EE63241" w14:textId="77777777" w:rsidR="00617538" w:rsidRPr="00CD3497" w:rsidRDefault="00617538" w:rsidP="00617538">
      <w:pPr>
        <w:jc w:val="both"/>
        <w:rPr>
          <w:sz w:val="22"/>
          <w:szCs w:val="22"/>
        </w:rPr>
      </w:pPr>
      <w:r w:rsidRPr="00CD3497">
        <w:rPr>
          <w:sz w:val="22"/>
          <w:szCs w:val="22"/>
        </w:rPr>
        <w:t>Bidders have the option to Bid for any one or more lots (contracts). Bids will be evaluated lot-wise. The contract(s) will be awarded to the Bidder or Bidders offering the lowest evaluated cost to the Employer for any one or more lots, subject to the selected Bidder(s) meeting the required qualification criteria for lot or combination of lots as the case may be (for example, to qualify for two lots, Bidders must satisfy the combined requisites for both lots. Similarly, for three and more lots, Bidders must meet the cumulative requirements for all respective lots).</w:t>
      </w:r>
    </w:p>
    <w:p w14:paraId="0022B5EB" w14:textId="77777777" w:rsidR="00617538" w:rsidRDefault="00617538" w:rsidP="00617538">
      <w:pPr>
        <w:pStyle w:val="Style11"/>
        <w:tabs>
          <w:tab w:val="left" w:leader="dot" w:pos="8424"/>
        </w:tabs>
        <w:spacing w:line="240" w:lineRule="auto"/>
        <w:jc w:val="both"/>
        <w:rPr>
          <w:b/>
          <w:color w:val="0000FF"/>
          <w:sz w:val="22"/>
          <w:szCs w:val="22"/>
        </w:rPr>
      </w:pPr>
    </w:p>
    <w:p w14:paraId="4EA9A4BA" w14:textId="77777777" w:rsidR="00617538" w:rsidRPr="00F731DB" w:rsidRDefault="00617538" w:rsidP="00617538">
      <w:pPr>
        <w:pStyle w:val="FootnoteText"/>
        <w:tabs>
          <w:tab w:val="clear" w:pos="360"/>
          <w:tab w:val="left" w:pos="0"/>
        </w:tabs>
        <w:ind w:left="0" w:firstLine="0"/>
        <w:jc w:val="both"/>
        <w:rPr>
          <w:bCs/>
          <w:spacing w:val="-2"/>
          <w:sz w:val="22"/>
          <w:szCs w:val="22"/>
        </w:rPr>
      </w:pPr>
      <w:r w:rsidRPr="00F731DB">
        <w:rPr>
          <w:bCs/>
          <w:spacing w:val="-2"/>
          <w:sz w:val="22"/>
          <w:szCs w:val="22"/>
        </w:rPr>
        <w:t xml:space="preserve">A margin of preference for eligible national contractors/joint ventures </w:t>
      </w:r>
      <w:r w:rsidRPr="00F731DB">
        <w:rPr>
          <w:b/>
          <w:sz w:val="22"/>
          <w:szCs w:val="22"/>
        </w:rPr>
        <w:t>shall not</w:t>
      </w:r>
      <w:r w:rsidRPr="00F731DB">
        <w:rPr>
          <w:bCs/>
          <w:sz w:val="22"/>
          <w:szCs w:val="22"/>
        </w:rPr>
        <w:t xml:space="preserve"> be</w:t>
      </w:r>
      <w:r w:rsidRPr="00F731DB">
        <w:rPr>
          <w:bCs/>
          <w:spacing w:val="-2"/>
          <w:sz w:val="22"/>
          <w:szCs w:val="22"/>
        </w:rPr>
        <w:t xml:space="preserve"> applied.</w:t>
      </w:r>
    </w:p>
    <w:p w14:paraId="5D2161CA" w14:textId="77777777" w:rsidR="00617538" w:rsidRPr="00B7187C" w:rsidRDefault="00617538" w:rsidP="00617538">
      <w:pPr>
        <w:pStyle w:val="FootnoteText"/>
        <w:tabs>
          <w:tab w:val="clear" w:pos="360"/>
          <w:tab w:val="left" w:pos="-720"/>
        </w:tabs>
        <w:ind w:left="-720" w:firstLine="0"/>
        <w:jc w:val="both"/>
        <w:rPr>
          <w:sz w:val="22"/>
          <w:szCs w:val="22"/>
        </w:rPr>
      </w:pPr>
    </w:p>
    <w:p w14:paraId="64B17206" w14:textId="77777777" w:rsidR="00617538" w:rsidRPr="00B7187C" w:rsidRDefault="00617538" w:rsidP="00617538">
      <w:pPr>
        <w:pStyle w:val="FootnoteText"/>
        <w:tabs>
          <w:tab w:val="clear" w:pos="360"/>
          <w:tab w:val="left" w:pos="-90"/>
        </w:tabs>
        <w:ind w:left="0" w:firstLine="0"/>
        <w:jc w:val="both"/>
        <w:rPr>
          <w:i/>
          <w:sz w:val="22"/>
          <w:szCs w:val="22"/>
        </w:rPr>
      </w:pPr>
      <w:r w:rsidRPr="00B7187C">
        <w:rPr>
          <w:i/>
          <w:sz w:val="22"/>
          <w:szCs w:val="22"/>
        </w:rPr>
        <w:t>*More details for qualification requirements are</w:t>
      </w:r>
      <w:r>
        <w:rPr>
          <w:i/>
          <w:sz w:val="22"/>
          <w:szCs w:val="22"/>
        </w:rPr>
        <w:t xml:space="preserve"> </w:t>
      </w:r>
      <w:r w:rsidRPr="00B7187C">
        <w:rPr>
          <w:i/>
          <w:sz w:val="22"/>
          <w:szCs w:val="22"/>
        </w:rPr>
        <w:t>provided in the Bidding Document (Section III. Evaluation and Qualification Criteria).</w:t>
      </w:r>
    </w:p>
    <w:p w14:paraId="067042C0" w14:textId="77777777" w:rsidR="00617538" w:rsidRDefault="00617538" w:rsidP="00617538">
      <w:pPr>
        <w:pStyle w:val="FootnoteText"/>
        <w:tabs>
          <w:tab w:val="clear" w:pos="360"/>
          <w:tab w:val="left" w:pos="-90"/>
        </w:tabs>
        <w:ind w:left="0" w:firstLine="0"/>
        <w:jc w:val="both"/>
        <w:rPr>
          <w:b/>
          <w:sz w:val="22"/>
          <w:szCs w:val="22"/>
        </w:rPr>
      </w:pPr>
    </w:p>
    <w:p w14:paraId="1BBD68D0" w14:textId="77777777" w:rsidR="00617538" w:rsidRPr="00B7187C" w:rsidRDefault="00617538" w:rsidP="00617538">
      <w:pPr>
        <w:pStyle w:val="ListParagraph"/>
        <w:numPr>
          <w:ilvl w:val="0"/>
          <w:numId w:val="1"/>
        </w:numPr>
        <w:suppressAutoHyphens/>
        <w:jc w:val="both"/>
        <w:rPr>
          <w:spacing w:val="-2"/>
          <w:sz w:val="22"/>
          <w:szCs w:val="22"/>
        </w:rPr>
      </w:pPr>
      <w:r w:rsidRPr="00B7187C">
        <w:rPr>
          <w:spacing w:val="-2"/>
          <w:sz w:val="22"/>
          <w:szCs w:val="22"/>
        </w:rPr>
        <w:lastRenderedPageBreak/>
        <w:t xml:space="preserve">Bidding will be conducted through </w:t>
      </w:r>
      <w:r w:rsidRPr="00F731DB">
        <w:rPr>
          <w:b/>
          <w:bCs/>
          <w:sz w:val="22"/>
          <w:szCs w:val="22"/>
          <w:u w:val="single"/>
        </w:rPr>
        <w:t>International competitive bidding (ICB)</w:t>
      </w:r>
      <w:r w:rsidRPr="00B7187C">
        <w:rPr>
          <w:spacing w:val="-2"/>
          <w:sz w:val="22"/>
          <w:szCs w:val="22"/>
        </w:rPr>
        <w:t xml:space="preserve"> procedures as specified in the EIB’s “Guide to Procurement</w:t>
      </w:r>
      <w:r w:rsidRPr="00B7187C">
        <w:rPr>
          <w:sz w:val="22"/>
          <w:szCs w:val="22"/>
        </w:rPr>
        <w:t>”</w:t>
      </w:r>
      <w:r w:rsidRPr="00B7187C">
        <w:rPr>
          <w:spacing w:val="-2"/>
          <w:sz w:val="22"/>
          <w:szCs w:val="22"/>
        </w:rPr>
        <w:t xml:space="preserve"> </w:t>
      </w:r>
      <w:r w:rsidRPr="00B7187C">
        <w:rPr>
          <w:i/>
          <w:spacing w:val="-2"/>
          <w:sz w:val="22"/>
          <w:szCs w:val="22"/>
        </w:rPr>
        <w:t>[</w:t>
      </w:r>
      <w:r w:rsidRPr="00B7187C">
        <w:rPr>
          <w:i/>
          <w:sz w:val="22"/>
          <w:szCs w:val="22"/>
        </w:rPr>
        <w:t xml:space="preserve">Guide to Procurement for projects financed by the EIB”, </w:t>
      </w:r>
      <w:r>
        <w:rPr>
          <w:i/>
          <w:sz w:val="22"/>
          <w:szCs w:val="22"/>
        </w:rPr>
        <w:t>March 2024</w:t>
      </w:r>
      <w:r w:rsidRPr="00B7187C">
        <w:rPr>
          <w:i/>
          <w:spacing w:val="-2"/>
          <w:sz w:val="22"/>
          <w:szCs w:val="22"/>
        </w:rPr>
        <w:t>]</w:t>
      </w:r>
      <w:r w:rsidRPr="00B7187C">
        <w:rPr>
          <w:spacing w:val="-2"/>
          <w:sz w:val="22"/>
          <w:szCs w:val="22"/>
        </w:rPr>
        <w:t xml:space="preserve"> and</w:t>
      </w:r>
      <w:r>
        <w:rPr>
          <w:spacing w:val="-2"/>
          <w:sz w:val="22"/>
          <w:szCs w:val="22"/>
        </w:rPr>
        <w:t xml:space="preserve"> it</w:t>
      </w:r>
      <w:r w:rsidRPr="00B7187C">
        <w:rPr>
          <w:spacing w:val="-2"/>
          <w:sz w:val="22"/>
          <w:szCs w:val="22"/>
        </w:rPr>
        <w:t xml:space="preserve"> is open to all Bidders </w:t>
      </w:r>
      <w:r w:rsidRPr="00B7187C">
        <w:rPr>
          <w:sz w:val="22"/>
          <w:szCs w:val="22"/>
        </w:rPr>
        <w:t>from all countries</w:t>
      </w:r>
      <w:r>
        <w:rPr>
          <w:sz w:val="22"/>
          <w:szCs w:val="22"/>
        </w:rPr>
        <w:t>,</w:t>
      </w:r>
      <w:r w:rsidRPr="00B7187C">
        <w:rPr>
          <w:sz w:val="22"/>
          <w:szCs w:val="22"/>
        </w:rPr>
        <w:t xml:space="preserve"> </w:t>
      </w:r>
      <w:r w:rsidRPr="00ED3863">
        <w:rPr>
          <w:sz w:val="22"/>
          <w:szCs w:val="22"/>
        </w:rPr>
        <w:t>eligible to tender for works, goods and services contracts</w:t>
      </w:r>
      <w:r>
        <w:rPr>
          <w:sz w:val="22"/>
          <w:szCs w:val="22"/>
        </w:rPr>
        <w:t>,</w:t>
      </w:r>
      <w:r w:rsidRPr="00ED3863">
        <w:rPr>
          <w:sz w:val="22"/>
          <w:szCs w:val="22"/>
        </w:rPr>
        <w:t xml:space="preserve"> </w:t>
      </w:r>
      <w:r w:rsidRPr="00B7187C">
        <w:rPr>
          <w:sz w:val="22"/>
          <w:szCs w:val="22"/>
        </w:rPr>
        <w:t xml:space="preserve">except Bidders included in EIB’s </w:t>
      </w:r>
      <w:r w:rsidRPr="00B7187C">
        <w:rPr>
          <w:iCs/>
          <w:sz w:val="22"/>
          <w:szCs w:val="22"/>
        </w:rPr>
        <w:t>list of debarred firms</w:t>
      </w:r>
      <w:r w:rsidRPr="00B7187C">
        <w:rPr>
          <w:spacing w:val="-2"/>
          <w:sz w:val="22"/>
          <w:szCs w:val="22"/>
        </w:rPr>
        <w:t xml:space="preserve">. In addition, please refer to paragraph 1.5 setting forth the Bank’s policy on conflict of interest. </w:t>
      </w:r>
    </w:p>
    <w:p w14:paraId="4C6ABBB8" w14:textId="77777777" w:rsidR="00617538" w:rsidRPr="00B7187C" w:rsidRDefault="00617538" w:rsidP="00617538">
      <w:pPr>
        <w:pStyle w:val="ListParagraph"/>
        <w:rPr>
          <w:spacing w:val="-2"/>
          <w:sz w:val="22"/>
          <w:szCs w:val="22"/>
        </w:rPr>
      </w:pPr>
    </w:p>
    <w:p w14:paraId="35B0589D" w14:textId="7067D892" w:rsidR="00617538" w:rsidRPr="00B7187C" w:rsidRDefault="00617538" w:rsidP="00617538">
      <w:pPr>
        <w:pStyle w:val="ListParagraph"/>
        <w:numPr>
          <w:ilvl w:val="0"/>
          <w:numId w:val="1"/>
        </w:numPr>
        <w:suppressAutoHyphens/>
        <w:jc w:val="both"/>
        <w:rPr>
          <w:i/>
          <w:spacing w:val="-2"/>
          <w:sz w:val="22"/>
          <w:szCs w:val="22"/>
        </w:rPr>
      </w:pPr>
      <w:r w:rsidRPr="00B7187C">
        <w:rPr>
          <w:spacing w:val="-2"/>
          <w:sz w:val="22"/>
          <w:szCs w:val="22"/>
        </w:rPr>
        <w:t>Interested eligible Bidders may obtain further information from Employer’s office</w:t>
      </w:r>
      <w:r w:rsidRPr="00B7187C">
        <w:rPr>
          <w:b/>
          <w:color w:val="0000FF"/>
          <w:sz w:val="22"/>
          <w:szCs w:val="22"/>
        </w:rPr>
        <w:t xml:space="preserve"> </w:t>
      </w:r>
      <w:r w:rsidRPr="00B7187C">
        <w:rPr>
          <w:spacing w:val="-2"/>
          <w:sz w:val="22"/>
          <w:szCs w:val="22"/>
        </w:rPr>
        <w:t xml:space="preserve">during office hours </w:t>
      </w:r>
      <w:r w:rsidRPr="00B7187C">
        <w:rPr>
          <w:b/>
          <w:spacing w:val="-2"/>
          <w:sz w:val="22"/>
          <w:szCs w:val="22"/>
        </w:rPr>
        <w:t>10:00 to 17:00</w:t>
      </w:r>
      <w:r w:rsidRPr="00B7187C">
        <w:rPr>
          <w:i/>
          <w:spacing w:val="-2"/>
          <w:sz w:val="22"/>
          <w:szCs w:val="22"/>
        </w:rPr>
        <w:t xml:space="preserve"> </w:t>
      </w:r>
      <w:r w:rsidRPr="00B7187C">
        <w:rPr>
          <w:spacing w:val="-2"/>
          <w:sz w:val="22"/>
          <w:szCs w:val="22"/>
        </w:rPr>
        <w:t>at the address given below</w:t>
      </w:r>
      <w:r w:rsidRPr="00B7187C">
        <w:rPr>
          <w:b/>
          <w:color w:val="0000FF"/>
          <w:sz w:val="22"/>
          <w:szCs w:val="22"/>
        </w:rPr>
        <w:t xml:space="preserve"> </w:t>
      </w:r>
      <w:r w:rsidRPr="00F731DB">
        <w:rPr>
          <w:b/>
          <w:sz w:val="22"/>
          <w:szCs w:val="22"/>
        </w:rPr>
        <w:t>(</w:t>
      </w:r>
      <w:proofErr w:type="spellStart"/>
      <w:r w:rsidRPr="00F731DB">
        <w:rPr>
          <w:b/>
          <w:sz w:val="22"/>
          <w:szCs w:val="22"/>
        </w:rPr>
        <w:t>Mr.Martin</w:t>
      </w:r>
      <w:proofErr w:type="spellEnd"/>
      <w:r w:rsidRPr="00F731DB">
        <w:rPr>
          <w:b/>
          <w:sz w:val="22"/>
          <w:szCs w:val="22"/>
        </w:rPr>
        <w:t xml:space="preserve"> Charyan</w:t>
      </w:r>
      <w:r w:rsidRPr="00B7187C">
        <w:rPr>
          <w:b/>
          <w:color w:val="0000FF"/>
          <w:sz w:val="22"/>
          <w:szCs w:val="22"/>
        </w:rPr>
        <w:t xml:space="preserve"> – </w:t>
      </w:r>
      <w:r w:rsidRPr="00F731DB">
        <w:rPr>
          <w:b/>
          <w:sz w:val="22"/>
          <w:szCs w:val="22"/>
        </w:rPr>
        <w:t xml:space="preserve">Procurement Specialist of </w:t>
      </w:r>
      <w:r w:rsidRPr="00F731DB">
        <w:rPr>
          <w:b/>
          <w:bCs/>
          <w:sz w:val="22"/>
          <w:szCs w:val="22"/>
        </w:rPr>
        <w:t>“Investing Projects Implementation Unit Building up of Yerevan” Community Non</w:t>
      </w:r>
      <w:r>
        <w:rPr>
          <w:b/>
          <w:bCs/>
          <w:sz w:val="22"/>
          <w:szCs w:val="22"/>
        </w:rPr>
        <w:t>-</w:t>
      </w:r>
      <w:r w:rsidRPr="00F731DB">
        <w:rPr>
          <w:b/>
          <w:bCs/>
          <w:sz w:val="22"/>
          <w:szCs w:val="22"/>
        </w:rPr>
        <w:t>Commercial Organization</w:t>
      </w:r>
      <w:r w:rsidRPr="00F731DB">
        <w:rPr>
          <w:b/>
          <w:sz w:val="22"/>
          <w:szCs w:val="22"/>
        </w:rPr>
        <w:t>; (+374 11) 51-50-07 (reception); email:</w:t>
      </w:r>
      <w:r w:rsidRPr="00B7187C">
        <w:rPr>
          <w:b/>
          <w:color w:val="0000FF"/>
          <w:sz w:val="22"/>
          <w:szCs w:val="22"/>
        </w:rPr>
        <w:t xml:space="preserve"> </w:t>
      </w:r>
      <w:hyperlink r:id="rId7" w:history="1">
        <w:r w:rsidRPr="00B7187C">
          <w:rPr>
            <w:rStyle w:val="Hyperlink"/>
            <w:b/>
            <w:sz w:val="22"/>
            <w:szCs w:val="22"/>
          </w:rPr>
          <w:t>martin.charyan@yerevan.am</w:t>
        </w:r>
      </w:hyperlink>
      <w:r w:rsidR="00C01F10">
        <w:t xml:space="preserve"> </w:t>
      </w:r>
      <w:bookmarkStart w:id="10" w:name="_Hlk205289282"/>
      <w:r w:rsidR="00C01F10">
        <w:t xml:space="preserve">copy to: </w:t>
      </w:r>
      <w:bookmarkStart w:id="11" w:name="_Hlk206063286"/>
      <w:r w:rsidR="00C01F10">
        <w:fldChar w:fldCharType="begin"/>
      </w:r>
      <w:r w:rsidR="00C01F10">
        <w:instrText>HYPERLINK "mailto:meri.hayrapetyan@yerevan.am"</w:instrText>
      </w:r>
      <w:r w:rsidR="00C01F10">
        <w:fldChar w:fldCharType="separate"/>
      </w:r>
      <w:r w:rsidR="00C01F10" w:rsidRPr="00C01F10">
        <w:rPr>
          <w:rStyle w:val="Hyperlink"/>
          <w:b/>
          <w:sz w:val="22"/>
          <w:szCs w:val="22"/>
        </w:rPr>
        <w:t>meri.hayrapetyan@yerevan.am</w:t>
      </w:r>
      <w:r w:rsidR="00C01F10">
        <w:fldChar w:fldCharType="end"/>
      </w:r>
      <w:bookmarkEnd w:id="11"/>
      <w:r w:rsidRPr="00B7187C">
        <w:rPr>
          <w:b/>
          <w:color w:val="0000FF"/>
          <w:sz w:val="22"/>
          <w:szCs w:val="22"/>
        </w:rPr>
        <w:t>)</w:t>
      </w:r>
      <w:bookmarkEnd w:id="10"/>
      <w:r w:rsidRPr="00B7187C">
        <w:rPr>
          <w:spacing w:val="-2"/>
          <w:sz w:val="22"/>
          <w:szCs w:val="22"/>
        </w:rPr>
        <w:t>.</w:t>
      </w:r>
    </w:p>
    <w:p w14:paraId="49443F8C" w14:textId="77777777" w:rsidR="00617538" w:rsidRPr="00B7187C" w:rsidRDefault="00617538" w:rsidP="00617538">
      <w:pPr>
        <w:pStyle w:val="ListParagraph"/>
        <w:rPr>
          <w:i/>
          <w:spacing w:val="-2"/>
          <w:sz w:val="22"/>
          <w:szCs w:val="22"/>
        </w:rPr>
      </w:pPr>
    </w:p>
    <w:p w14:paraId="5A46C6C2" w14:textId="77777777" w:rsidR="00617538" w:rsidRPr="00B7187C" w:rsidRDefault="00617538" w:rsidP="00617538">
      <w:pPr>
        <w:pStyle w:val="ListParagraph"/>
        <w:numPr>
          <w:ilvl w:val="0"/>
          <w:numId w:val="1"/>
        </w:numPr>
        <w:suppressAutoHyphens/>
        <w:jc w:val="both"/>
        <w:rPr>
          <w:i/>
          <w:spacing w:val="-2"/>
          <w:sz w:val="22"/>
          <w:szCs w:val="22"/>
        </w:rPr>
      </w:pPr>
      <w:r w:rsidRPr="00B7187C">
        <w:rPr>
          <w:spacing w:val="-2"/>
          <w:sz w:val="22"/>
          <w:szCs w:val="22"/>
        </w:rPr>
        <w:t xml:space="preserve">A complete set of the Bidding Documents </w:t>
      </w:r>
      <w:r w:rsidRPr="00F731DB">
        <w:rPr>
          <w:spacing w:val="-2"/>
          <w:sz w:val="22"/>
          <w:szCs w:val="22"/>
        </w:rPr>
        <w:t>(</w:t>
      </w:r>
      <w:r w:rsidRPr="00F731DB">
        <w:rPr>
          <w:b/>
          <w:sz w:val="22"/>
          <w:szCs w:val="22"/>
        </w:rPr>
        <w:t>only in electronic format)</w:t>
      </w:r>
      <w:r w:rsidRPr="00F731DB">
        <w:rPr>
          <w:spacing w:val="-2"/>
          <w:sz w:val="22"/>
          <w:szCs w:val="22"/>
        </w:rPr>
        <w:t xml:space="preserve"> in </w:t>
      </w:r>
      <w:r w:rsidRPr="00F731DB">
        <w:rPr>
          <w:b/>
          <w:sz w:val="22"/>
          <w:szCs w:val="22"/>
        </w:rPr>
        <w:t>English</w:t>
      </w:r>
      <w:r w:rsidRPr="00B7187C">
        <w:rPr>
          <w:spacing w:val="-2"/>
          <w:sz w:val="22"/>
          <w:szCs w:val="22"/>
        </w:rPr>
        <w:t xml:space="preserve"> may be obtained by interested eligible bidders </w:t>
      </w:r>
      <w:r w:rsidRPr="00B7187C">
        <w:rPr>
          <w:b/>
          <w:spacing w:val="-2"/>
          <w:sz w:val="22"/>
          <w:szCs w:val="22"/>
          <w:u w:val="single"/>
        </w:rPr>
        <w:t>free of charge</w:t>
      </w:r>
      <w:r w:rsidRPr="00B7187C">
        <w:rPr>
          <w:spacing w:val="-2"/>
          <w:sz w:val="22"/>
          <w:szCs w:val="22"/>
        </w:rPr>
        <w:t xml:space="preserve"> upon the submission of a written application</w:t>
      </w:r>
      <w:r w:rsidRPr="00B7187C">
        <w:rPr>
          <w:b/>
          <w:spacing w:val="-2"/>
          <w:sz w:val="22"/>
          <w:szCs w:val="22"/>
          <w:vertAlign w:val="superscript"/>
        </w:rPr>
        <w:t>(</w:t>
      </w:r>
      <w:r w:rsidRPr="00B7187C">
        <w:rPr>
          <w:b/>
          <w:spacing w:val="-2"/>
          <w:sz w:val="22"/>
          <w:szCs w:val="22"/>
        </w:rPr>
        <w:t>*</w:t>
      </w:r>
      <w:r w:rsidRPr="00B7187C">
        <w:rPr>
          <w:b/>
          <w:spacing w:val="-2"/>
          <w:sz w:val="22"/>
          <w:szCs w:val="22"/>
          <w:vertAlign w:val="superscript"/>
        </w:rPr>
        <w:t>)</w:t>
      </w:r>
      <w:r w:rsidRPr="00B7187C">
        <w:rPr>
          <w:spacing w:val="-2"/>
          <w:sz w:val="22"/>
          <w:szCs w:val="22"/>
        </w:rPr>
        <w:t xml:space="preserve"> to the address below </w:t>
      </w:r>
      <w:r w:rsidRPr="00B7187C">
        <w:rPr>
          <w:sz w:val="22"/>
          <w:szCs w:val="22"/>
        </w:rPr>
        <w:t xml:space="preserve">requesting the Bidding Documents for </w:t>
      </w:r>
      <w:r w:rsidRPr="00A3412A">
        <w:rPr>
          <w:b/>
          <w:bCs/>
          <w:sz w:val="22"/>
          <w:szCs w:val="22"/>
        </w:rPr>
        <w:t>“Seismic upgrades, energy efficiency improvements and reconstruction of Kindergartens Nos. 17, 39, 46, 72, 93, 133 &amp; 64” (comprising 7 Lots), Ref# YEEP-II/ICB/CW–25/001</w:t>
      </w:r>
      <w:r w:rsidRPr="00B7187C">
        <w:rPr>
          <w:spacing w:val="-2"/>
          <w:sz w:val="22"/>
          <w:szCs w:val="22"/>
        </w:rPr>
        <w:t xml:space="preserve"> (the complete set of the Bidding Documents will be delivered to the interested bidders via file transfer system). </w:t>
      </w:r>
      <w:r w:rsidRPr="00F352F2">
        <w:rPr>
          <w:b/>
          <w:bCs/>
          <w:spacing w:val="-2"/>
          <w:sz w:val="22"/>
          <w:szCs w:val="22"/>
        </w:rPr>
        <w:t>The language of tender is</w:t>
      </w:r>
      <w:r w:rsidRPr="00B7187C">
        <w:rPr>
          <w:spacing w:val="-2"/>
          <w:sz w:val="22"/>
          <w:szCs w:val="22"/>
        </w:rPr>
        <w:t xml:space="preserve"> </w:t>
      </w:r>
      <w:r>
        <w:rPr>
          <w:b/>
          <w:spacing w:val="-2"/>
          <w:sz w:val="22"/>
          <w:szCs w:val="22"/>
        </w:rPr>
        <w:t>English</w:t>
      </w:r>
      <w:r w:rsidRPr="00B7187C">
        <w:rPr>
          <w:spacing w:val="-2"/>
          <w:sz w:val="22"/>
          <w:szCs w:val="22"/>
        </w:rPr>
        <w:t>.</w:t>
      </w:r>
    </w:p>
    <w:p w14:paraId="6843E5B4" w14:textId="77777777" w:rsidR="00617538" w:rsidRDefault="00617538" w:rsidP="00617538">
      <w:pPr>
        <w:pStyle w:val="ListParagraph"/>
        <w:suppressAutoHyphens/>
        <w:ind w:left="360"/>
        <w:jc w:val="both"/>
        <w:rPr>
          <w:b/>
          <w:bCs/>
          <w:color w:val="000000"/>
          <w:sz w:val="22"/>
          <w:szCs w:val="22"/>
        </w:rPr>
      </w:pPr>
    </w:p>
    <w:p w14:paraId="0FD01371" w14:textId="53110B3E" w:rsidR="00617538" w:rsidRPr="00AE7881" w:rsidRDefault="00B04066" w:rsidP="00617538">
      <w:pPr>
        <w:pStyle w:val="ListParagraph"/>
        <w:suppressAutoHyphens/>
        <w:ind w:left="360"/>
        <w:jc w:val="both"/>
        <w:rPr>
          <w:color w:val="000000"/>
          <w:sz w:val="22"/>
          <w:szCs w:val="22"/>
        </w:rPr>
      </w:pPr>
      <w:r w:rsidRPr="00B04066">
        <w:rPr>
          <w:color w:val="000000"/>
          <w:sz w:val="22"/>
          <w:szCs w:val="22"/>
        </w:rPr>
        <w:t xml:space="preserve">In addition, the Bidding Documents—excluding the Technical Specifications, which are available in English only—have been translated into </w:t>
      </w:r>
      <w:r w:rsidRPr="00B04066">
        <w:rPr>
          <w:b/>
          <w:bCs/>
          <w:color w:val="000000"/>
          <w:sz w:val="22"/>
          <w:szCs w:val="22"/>
        </w:rPr>
        <w:t>Armenian</w:t>
      </w:r>
      <w:r w:rsidRPr="00B04066">
        <w:rPr>
          <w:color w:val="000000"/>
          <w:sz w:val="22"/>
          <w:szCs w:val="22"/>
        </w:rPr>
        <w:t>. Upon request by an interested Bidder, the Employer shall provide the Armenian version of the Bidding Documents. In the event of any discrepancy between the English and Armenian versions,</w:t>
      </w:r>
      <w:r w:rsidR="00617538" w:rsidRPr="00AE7881">
        <w:rPr>
          <w:color w:val="000000"/>
          <w:sz w:val="22"/>
          <w:szCs w:val="22"/>
        </w:rPr>
        <w:t xml:space="preserve"> the </w:t>
      </w:r>
      <w:r w:rsidR="00617538" w:rsidRPr="00AE7881">
        <w:rPr>
          <w:b/>
          <w:bCs/>
          <w:sz w:val="22"/>
          <w:szCs w:val="22"/>
        </w:rPr>
        <w:t>English</w:t>
      </w:r>
      <w:r w:rsidR="00617538" w:rsidRPr="00AE7881">
        <w:rPr>
          <w:color w:val="000000"/>
          <w:sz w:val="22"/>
          <w:szCs w:val="22"/>
        </w:rPr>
        <w:t xml:space="preserve"> </w:t>
      </w:r>
      <w:r w:rsidR="00617538" w:rsidRPr="00B04066">
        <w:rPr>
          <w:b/>
          <w:bCs/>
          <w:color w:val="000000"/>
          <w:sz w:val="22"/>
          <w:szCs w:val="22"/>
        </w:rPr>
        <w:t>version will prevail</w:t>
      </w:r>
      <w:r w:rsidR="00617538" w:rsidRPr="00AE7881">
        <w:rPr>
          <w:color w:val="000000"/>
          <w:sz w:val="22"/>
          <w:szCs w:val="22"/>
        </w:rPr>
        <w:t>.</w:t>
      </w:r>
    </w:p>
    <w:p w14:paraId="3C86A2DA" w14:textId="77777777" w:rsidR="00617538" w:rsidRPr="00B7187C" w:rsidRDefault="00617538" w:rsidP="00617538">
      <w:pPr>
        <w:pStyle w:val="ListParagraph"/>
        <w:suppressAutoHyphens/>
        <w:ind w:left="360"/>
        <w:jc w:val="both"/>
        <w:rPr>
          <w:spacing w:val="-2"/>
          <w:sz w:val="22"/>
          <w:szCs w:val="22"/>
        </w:rPr>
      </w:pPr>
    </w:p>
    <w:p w14:paraId="14226601" w14:textId="76C601DC" w:rsidR="00617538" w:rsidRPr="00A3412A" w:rsidRDefault="00617538" w:rsidP="00617538">
      <w:pPr>
        <w:pStyle w:val="ListParagraph"/>
        <w:numPr>
          <w:ilvl w:val="0"/>
          <w:numId w:val="1"/>
        </w:numPr>
        <w:suppressAutoHyphens/>
        <w:jc w:val="both"/>
        <w:rPr>
          <w:spacing w:val="-2"/>
          <w:sz w:val="22"/>
          <w:szCs w:val="22"/>
        </w:rPr>
      </w:pPr>
      <w:r w:rsidRPr="00A3412A">
        <w:rPr>
          <w:spacing w:val="-2"/>
          <w:sz w:val="22"/>
          <w:szCs w:val="22"/>
        </w:rPr>
        <w:t xml:space="preserve">Bids must be delivered to the address below on or before </w:t>
      </w:r>
      <w:r w:rsidR="00F70888" w:rsidRPr="00F70888">
        <w:rPr>
          <w:b/>
          <w:bCs/>
          <w:spacing w:val="-2"/>
          <w:sz w:val="22"/>
          <w:szCs w:val="22"/>
        </w:rPr>
        <w:t>November 18</w:t>
      </w:r>
      <w:r w:rsidRPr="001D6E3E">
        <w:rPr>
          <w:b/>
          <w:sz w:val="22"/>
          <w:szCs w:val="22"/>
        </w:rPr>
        <w:t>, 202</w:t>
      </w:r>
      <w:r w:rsidRPr="001D6E3E">
        <w:rPr>
          <w:b/>
          <w:sz w:val="22"/>
          <w:szCs w:val="22"/>
          <w:lang w:val="hy-AM"/>
        </w:rPr>
        <w:t>5</w:t>
      </w:r>
      <w:r w:rsidRPr="001D6E3E">
        <w:rPr>
          <w:b/>
          <w:sz w:val="22"/>
          <w:szCs w:val="22"/>
        </w:rPr>
        <w:t xml:space="preserve"> at 15:00 (Yerevan time)</w:t>
      </w:r>
      <w:r w:rsidRPr="001D6E3E">
        <w:rPr>
          <w:i/>
          <w:spacing w:val="-2"/>
          <w:sz w:val="22"/>
          <w:szCs w:val="22"/>
        </w:rPr>
        <w:t>.</w:t>
      </w:r>
      <w:r w:rsidRPr="001D6E3E">
        <w:rPr>
          <w:spacing w:val="-2"/>
          <w:sz w:val="22"/>
          <w:szCs w:val="22"/>
        </w:rPr>
        <w:t xml:space="preserve"> Electronic Bidding </w:t>
      </w:r>
      <w:r w:rsidRPr="001D6E3E">
        <w:rPr>
          <w:b/>
          <w:spacing w:val="-2"/>
          <w:sz w:val="22"/>
          <w:szCs w:val="22"/>
          <w:u w:val="single"/>
        </w:rPr>
        <w:t>will not</w:t>
      </w:r>
      <w:r w:rsidRPr="001D6E3E">
        <w:rPr>
          <w:spacing w:val="-2"/>
          <w:sz w:val="22"/>
          <w:szCs w:val="22"/>
        </w:rPr>
        <w:t xml:space="preserve"> be permitted. Late Bids will be rejected. Bids will be publicly opened in the presence of the </w:t>
      </w:r>
      <w:proofErr w:type="gramStart"/>
      <w:r w:rsidRPr="001D6E3E">
        <w:rPr>
          <w:spacing w:val="-2"/>
          <w:sz w:val="22"/>
          <w:szCs w:val="22"/>
        </w:rPr>
        <w:t>Bidders’</w:t>
      </w:r>
      <w:proofErr w:type="gramEnd"/>
      <w:r w:rsidRPr="001D6E3E">
        <w:rPr>
          <w:spacing w:val="-2"/>
          <w:sz w:val="22"/>
          <w:szCs w:val="22"/>
        </w:rPr>
        <w:t xml:space="preserve"> designated representatives and anyone who chooses to attend</w:t>
      </w:r>
      <w:r w:rsidR="00DD62C3">
        <w:rPr>
          <w:spacing w:val="-2"/>
          <w:sz w:val="22"/>
          <w:szCs w:val="22"/>
        </w:rPr>
        <w:t>,</w:t>
      </w:r>
      <w:r w:rsidRPr="001D6E3E">
        <w:rPr>
          <w:spacing w:val="-2"/>
          <w:sz w:val="22"/>
          <w:szCs w:val="22"/>
        </w:rPr>
        <w:t xml:space="preserve"> at the address </w:t>
      </w:r>
      <w:r w:rsidR="00DD62C3">
        <w:rPr>
          <w:spacing w:val="-2"/>
          <w:sz w:val="22"/>
          <w:szCs w:val="22"/>
        </w:rPr>
        <w:t>specified</w:t>
      </w:r>
      <w:r w:rsidR="00DD62C3" w:rsidRPr="00B7187C">
        <w:rPr>
          <w:spacing w:val="-2"/>
          <w:sz w:val="22"/>
          <w:szCs w:val="22"/>
        </w:rPr>
        <w:t xml:space="preserve"> in </w:t>
      </w:r>
      <w:r w:rsidR="00DD62C3" w:rsidRPr="00A92FA9">
        <w:rPr>
          <w:b/>
          <w:bCs/>
          <w:spacing w:val="-2"/>
          <w:sz w:val="22"/>
          <w:szCs w:val="22"/>
        </w:rPr>
        <w:t>Section II - Bid Data Sheet (BDS), Sub-clause ITB 25.1</w:t>
      </w:r>
      <w:r w:rsidR="00DD62C3" w:rsidRPr="00B7187C">
        <w:rPr>
          <w:spacing w:val="-2"/>
          <w:sz w:val="22"/>
          <w:szCs w:val="22"/>
        </w:rPr>
        <w:t xml:space="preserve"> of the Bidding Documents</w:t>
      </w:r>
      <w:r w:rsidR="008C7419">
        <w:rPr>
          <w:spacing w:val="-2"/>
          <w:sz w:val="22"/>
          <w:szCs w:val="22"/>
        </w:rPr>
        <w:t>,</w:t>
      </w:r>
      <w:r w:rsidRPr="001D6E3E">
        <w:rPr>
          <w:spacing w:val="-2"/>
          <w:sz w:val="22"/>
          <w:szCs w:val="22"/>
        </w:rPr>
        <w:t xml:space="preserve"> on </w:t>
      </w:r>
      <w:r w:rsidR="00F70888" w:rsidRPr="00F70888">
        <w:rPr>
          <w:b/>
          <w:bCs/>
          <w:spacing w:val="-2"/>
          <w:sz w:val="22"/>
          <w:szCs w:val="22"/>
        </w:rPr>
        <w:t>November 18</w:t>
      </w:r>
      <w:r w:rsidRPr="00F70888">
        <w:rPr>
          <w:b/>
          <w:bCs/>
          <w:sz w:val="22"/>
          <w:szCs w:val="22"/>
        </w:rPr>
        <w:t>,</w:t>
      </w:r>
      <w:r w:rsidRPr="001D6E3E">
        <w:rPr>
          <w:b/>
          <w:sz w:val="22"/>
          <w:szCs w:val="22"/>
        </w:rPr>
        <w:t xml:space="preserve"> 202</w:t>
      </w:r>
      <w:r w:rsidRPr="001D6E3E">
        <w:rPr>
          <w:b/>
          <w:sz w:val="22"/>
          <w:szCs w:val="22"/>
          <w:lang w:val="hy-AM"/>
        </w:rPr>
        <w:t>5</w:t>
      </w:r>
      <w:r w:rsidRPr="001D6E3E">
        <w:rPr>
          <w:b/>
          <w:sz w:val="22"/>
          <w:szCs w:val="22"/>
        </w:rPr>
        <w:t xml:space="preserve"> at 15:</w:t>
      </w:r>
      <w:r w:rsidRPr="00A3412A">
        <w:rPr>
          <w:b/>
          <w:sz w:val="22"/>
          <w:szCs w:val="22"/>
        </w:rPr>
        <w:t>10 (Yerevan time)</w:t>
      </w:r>
      <w:r w:rsidRPr="00A3412A">
        <w:rPr>
          <w:i/>
          <w:spacing w:val="-2"/>
          <w:sz w:val="22"/>
          <w:szCs w:val="22"/>
        </w:rPr>
        <w:t xml:space="preserve">. </w:t>
      </w:r>
    </w:p>
    <w:p w14:paraId="06B001EB" w14:textId="77777777" w:rsidR="00617538" w:rsidRPr="00B7187C" w:rsidRDefault="00617538" w:rsidP="00617538">
      <w:pPr>
        <w:suppressAutoHyphens/>
        <w:jc w:val="both"/>
        <w:rPr>
          <w:spacing w:val="-2"/>
          <w:sz w:val="22"/>
          <w:szCs w:val="22"/>
        </w:rPr>
      </w:pPr>
    </w:p>
    <w:p w14:paraId="294647C6" w14:textId="77777777" w:rsidR="00617538" w:rsidRDefault="00617538" w:rsidP="00617538">
      <w:pPr>
        <w:pStyle w:val="ListParagraph"/>
        <w:numPr>
          <w:ilvl w:val="0"/>
          <w:numId w:val="1"/>
        </w:numPr>
        <w:suppressAutoHyphens/>
        <w:jc w:val="both"/>
        <w:rPr>
          <w:spacing w:val="-2"/>
          <w:sz w:val="22"/>
          <w:szCs w:val="22"/>
        </w:rPr>
      </w:pPr>
      <w:r w:rsidRPr="00B7187C">
        <w:rPr>
          <w:spacing w:val="-2"/>
          <w:sz w:val="22"/>
          <w:szCs w:val="22"/>
        </w:rPr>
        <w:t xml:space="preserve">All Bids must be accompanied by a </w:t>
      </w:r>
      <w:r w:rsidRPr="00A3412A">
        <w:rPr>
          <w:b/>
          <w:sz w:val="22"/>
          <w:szCs w:val="22"/>
        </w:rPr>
        <w:t>Bid-Securing Declaration</w:t>
      </w:r>
      <w:r w:rsidRPr="00A3412A">
        <w:rPr>
          <w:i/>
          <w:spacing w:val="-2"/>
          <w:sz w:val="22"/>
          <w:szCs w:val="22"/>
        </w:rPr>
        <w:t xml:space="preserve"> </w:t>
      </w:r>
      <w:r w:rsidRPr="00A3412A">
        <w:rPr>
          <w:spacing w:val="-2"/>
          <w:sz w:val="22"/>
          <w:szCs w:val="22"/>
        </w:rPr>
        <w:t>as</w:t>
      </w:r>
      <w:r w:rsidRPr="00B7187C">
        <w:rPr>
          <w:spacing w:val="-2"/>
          <w:sz w:val="22"/>
          <w:szCs w:val="22"/>
        </w:rPr>
        <w:t xml:space="preserve"> indicated in Sub-clause ITB 19.1 “Instructions to Bidders” of the Bidding Documents.</w:t>
      </w:r>
    </w:p>
    <w:p w14:paraId="1BABDDED" w14:textId="77777777" w:rsidR="00E06011" w:rsidRPr="00E06011" w:rsidRDefault="00E06011" w:rsidP="00E06011">
      <w:pPr>
        <w:pStyle w:val="ListParagraph"/>
        <w:rPr>
          <w:spacing w:val="-2"/>
          <w:sz w:val="22"/>
          <w:szCs w:val="22"/>
        </w:rPr>
      </w:pPr>
    </w:p>
    <w:p w14:paraId="782417A4" w14:textId="0709322B" w:rsidR="00E06011" w:rsidRPr="00E06011" w:rsidRDefault="00E06011" w:rsidP="00617538">
      <w:pPr>
        <w:pStyle w:val="ListParagraph"/>
        <w:numPr>
          <w:ilvl w:val="0"/>
          <w:numId w:val="1"/>
        </w:numPr>
        <w:suppressAutoHyphens/>
        <w:jc w:val="both"/>
        <w:rPr>
          <w:spacing w:val="-2"/>
          <w:sz w:val="22"/>
          <w:szCs w:val="22"/>
        </w:rPr>
      </w:pPr>
      <w:r w:rsidRPr="00E06011">
        <w:rPr>
          <w:spacing w:val="-2"/>
          <w:sz w:val="22"/>
          <w:szCs w:val="22"/>
        </w:rPr>
        <w:t xml:space="preserve">Attention is drawn to the Procurement Guidelines requiring the Borrower/Employer to disclose information on the successful bidder’s beneficial ownership, as part of the Contract Award Notice, using the Beneficial Ownership Disclosure Form as included in the </w:t>
      </w:r>
      <w:r>
        <w:rPr>
          <w:spacing w:val="-2"/>
          <w:sz w:val="22"/>
          <w:szCs w:val="22"/>
        </w:rPr>
        <w:t>B</w:t>
      </w:r>
      <w:r w:rsidRPr="00E06011">
        <w:rPr>
          <w:spacing w:val="-2"/>
          <w:sz w:val="22"/>
          <w:szCs w:val="22"/>
        </w:rPr>
        <w:t xml:space="preserve">idding </w:t>
      </w:r>
      <w:r>
        <w:rPr>
          <w:spacing w:val="-2"/>
          <w:sz w:val="22"/>
          <w:szCs w:val="22"/>
        </w:rPr>
        <w:t>D</w:t>
      </w:r>
      <w:r w:rsidRPr="00E06011">
        <w:rPr>
          <w:spacing w:val="-2"/>
          <w:sz w:val="22"/>
          <w:szCs w:val="22"/>
        </w:rPr>
        <w:t>ocument</w:t>
      </w:r>
      <w:r>
        <w:rPr>
          <w:spacing w:val="-2"/>
          <w:sz w:val="22"/>
          <w:szCs w:val="22"/>
        </w:rPr>
        <w:t>s</w:t>
      </w:r>
      <w:r w:rsidRPr="00E06011">
        <w:rPr>
          <w:spacing w:val="-2"/>
          <w:sz w:val="22"/>
          <w:szCs w:val="22"/>
        </w:rPr>
        <w:t>.</w:t>
      </w:r>
    </w:p>
    <w:p w14:paraId="083C41A3" w14:textId="77777777" w:rsidR="00617538" w:rsidRPr="00B7187C" w:rsidRDefault="00617538" w:rsidP="00617538">
      <w:pPr>
        <w:pStyle w:val="ListParagraph"/>
        <w:suppressAutoHyphens/>
        <w:ind w:left="360"/>
        <w:jc w:val="both"/>
        <w:rPr>
          <w:i/>
          <w:spacing w:val="-2"/>
          <w:sz w:val="22"/>
          <w:szCs w:val="22"/>
        </w:rPr>
      </w:pPr>
    </w:p>
    <w:p w14:paraId="0AAEC15E" w14:textId="77777777" w:rsidR="00617538" w:rsidRPr="00B7187C" w:rsidRDefault="00617538" w:rsidP="00617538">
      <w:pPr>
        <w:pStyle w:val="ListParagraph"/>
        <w:numPr>
          <w:ilvl w:val="0"/>
          <w:numId w:val="1"/>
        </w:numPr>
        <w:suppressAutoHyphens/>
        <w:jc w:val="both"/>
        <w:rPr>
          <w:i/>
          <w:spacing w:val="-2"/>
          <w:sz w:val="22"/>
          <w:szCs w:val="22"/>
        </w:rPr>
      </w:pPr>
      <w:r w:rsidRPr="00B7187C">
        <w:rPr>
          <w:sz w:val="22"/>
          <w:szCs w:val="22"/>
        </w:rPr>
        <w:t xml:space="preserve">The Bidder shall bear all costs associated with the preparation and submission of its Bid, and the </w:t>
      </w:r>
      <w:r w:rsidRPr="00F563FB">
        <w:rPr>
          <w:rStyle w:val="StyleHeader2-SubClausesItalicChar"/>
          <w:i w:val="0"/>
          <w:sz w:val="22"/>
          <w:szCs w:val="22"/>
        </w:rPr>
        <w:t>Employer</w:t>
      </w:r>
      <w:r w:rsidRPr="00B7187C">
        <w:rPr>
          <w:sz w:val="22"/>
          <w:szCs w:val="22"/>
        </w:rPr>
        <w:t xml:space="preserve"> shall in no case be responsible or liable for those costs, regardless of the conduct or outcome of the Bidding process.</w:t>
      </w:r>
      <w:r w:rsidRPr="00B7187C">
        <w:rPr>
          <w:i/>
          <w:spacing w:val="-2"/>
          <w:sz w:val="22"/>
          <w:szCs w:val="22"/>
        </w:rPr>
        <w:t xml:space="preserve"> </w:t>
      </w:r>
    </w:p>
    <w:p w14:paraId="6D3CDAA2" w14:textId="77777777" w:rsidR="00617538" w:rsidRPr="00B7187C" w:rsidRDefault="00617538" w:rsidP="00617538">
      <w:pPr>
        <w:pStyle w:val="ListParagraph"/>
        <w:suppressAutoHyphens/>
        <w:ind w:left="360"/>
        <w:jc w:val="both"/>
        <w:rPr>
          <w:i/>
          <w:spacing w:val="-2"/>
          <w:sz w:val="22"/>
          <w:szCs w:val="22"/>
        </w:rPr>
      </w:pPr>
    </w:p>
    <w:p w14:paraId="529C6E7D" w14:textId="77777777" w:rsidR="00617538" w:rsidRPr="00B7187C" w:rsidRDefault="00617538" w:rsidP="00617538">
      <w:pPr>
        <w:pStyle w:val="ListParagraph"/>
        <w:numPr>
          <w:ilvl w:val="0"/>
          <w:numId w:val="1"/>
        </w:numPr>
        <w:suppressAutoHyphens/>
        <w:jc w:val="both"/>
        <w:rPr>
          <w:b/>
          <w:i/>
          <w:spacing w:val="-2"/>
          <w:sz w:val="22"/>
          <w:szCs w:val="22"/>
        </w:rPr>
      </w:pPr>
      <w:r w:rsidRPr="00B7187C">
        <w:rPr>
          <w:b/>
          <w:spacing w:val="-2"/>
          <w:sz w:val="22"/>
          <w:szCs w:val="22"/>
        </w:rPr>
        <w:t>The address referred to above is:</w:t>
      </w:r>
      <w:r w:rsidRPr="00B7187C">
        <w:rPr>
          <w:b/>
          <w:i/>
          <w:spacing w:val="-2"/>
          <w:sz w:val="22"/>
          <w:szCs w:val="22"/>
        </w:rPr>
        <w:t xml:space="preserve"> </w:t>
      </w:r>
    </w:p>
    <w:p w14:paraId="56479224" w14:textId="77777777" w:rsidR="00617538" w:rsidRPr="00B7187C" w:rsidRDefault="00617538" w:rsidP="00617538">
      <w:pPr>
        <w:suppressAutoHyphens/>
        <w:rPr>
          <w:spacing w:val="-2"/>
          <w:sz w:val="22"/>
          <w:szCs w:val="22"/>
        </w:rPr>
      </w:pPr>
    </w:p>
    <w:p w14:paraId="12BE5C07" w14:textId="77777777" w:rsidR="00617538" w:rsidRPr="00A3412A" w:rsidRDefault="00617538" w:rsidP="00617538">
      <w:pPr>
        <w:pStyle w:val="ListParagraph"/>
        <w:suppressAutoHyphens/>
        <w:ind w:left="360"/>
        <w:jc w:val="both"/>
        <w:rPr>
          <w:b/>
          <w:sz w:val="22"/>
          <w:szCs w:val="22"/>
        </w:rPr>
      </w:pPr>
      <w:r w:rsidRPr="00A3412A">
        <w:rPr>
          <w:b/>
          <w:sz w:val="22"/>
          <w:szCs w:val="22"/>
        </w:rPr>
        <w:t>“Investing Projects Implementation Unit Building up of Yerevan”</w:t>
      </w:r>
      <w:r w:rsidRPr="00A3412A">
        <w:rPr>
          <w:b/>
          <w:bCs/>
          <w:sz w:val="22"/>
          <w:szCs w:val="22"/>
        </w:rPr>
        <w:t xml:space="preserve"> CNCO</w:t>
      </w:r>
    </w:p>
    <w:p w14:paraId="2BDD3011" w14:textId="77777777" w:rsidR="00617538" w:rsidRPr="00A3412A" w:rsidRDefault="00617538" w:rsidP="00617538">
      <w:pPr>
        <w:ind w:firstLine="357"/>
        <w:rPr>
          <w:sz w:val="22"/>
          <w:szCs w:val="22"/>
        </w:rPr>
      </w:pPr>
      <w:r w:rsidRPr="00A3412A">
        <w:rPr>
          <w:b/>
          <w:sz w:val="22"/>
          <w:szCs w:val="22"/>
        </w:rPr>
        <w:t xml:space="preserve">Attn.: Mr. Martin Charyan - Procurement Specialist </w:t>
      </w:r>
    </w:p>
    <w:p w14:paraId="5F89C681" w14:textId="77777777" w:rsidR="00617538" w:rsidRPr="00A3412A" w:rsidRDefault="00617538" w:rsidP="00617538">
      <w:pPr>
        <w:pStyle w:val="ListParagraph"/>
        <w:keepNext/>
        <w:ind w:left="357"/>
        <w:jc w:val="both"/>
        <w:rPr>
          <w:sz w:val="22"/>
          <w:szCs w:val="22"/>
        </w:rPr>
      </w:pPr>
      <w:r w:rsidRPr="00A3412A">
        <w:rPr>
          <w:b/>
          <w:sz w:val="22"/>
          <w:szCs w:val="22"/>
        </w:rPr>
        <w:t>Address:</w:t>
      </w:r>
      <w:r w:rsidRPr="00A3412A">
        <w:rPr>
          <w:sz w:val="22"/>
          <w:szCs w:val="22"/>
        </w:rPr>
        <w:t xml:space="preserve"> </w:t>
      </w:r>
      <w:r w:rsidRPr="00A3412A">
        <w:rPr>
          <w:b/>
          <w:sz w:val="22"/>
          <w:szCs w:val="22"/>
        </w:rPr>
        <w:t xml:space="preserve">1/3 </w:t>
      </w:r>
      <w:proofErr w:type="spellStart"/>
      <w:r w:rsidRPr="00A3412A">
        <w:rPr>
          <w:b/>
          <w:sz w:val="22"/>
          <w:szCs w:val="22"/>
        </w:rPr>
        <w:t>Buzand</w:t>
      </w:r>
      <w:proofErr w:type="spellEnd"/>
      <w:r w:rsidRPr="00A3412A">
        <w:rPr>
          <w:b/>
          <w:sz w:val="22"/>
          <w:szCs w:val="22"/>
        </w:rPr>
        <w:t xml:space="preserve"> Street, Yerevan 0010, Armenia</w:t>
      </w:r>
    </w:p>
    <w:p w14:paraId="439123E5" w14:textId="77777777" w:rsidR="00617538" w:rsidRPr="00A3412A" w:rsidRDefault="00617538" w:rsidP="00617538">
      <w:pPr>
        <w:pStyle w:val="ListParagraph"/>
        <w:keepNext/>
        <w:ind w:left="357"/>
        <w:jc w:val="both"/>
        <w:rPr>
          <w:b/>
          <w:sz w:val="22"/>
          <w:szCs w:val="22"/>
        </w:rPr>
      </w:pPr>
      <w:r w:rsidRPr="00A3412A">
        <w:rPr>
          <w:b/>
          <w:sz w:val="22"/>
          <w:szCs w:val="22"/>
        </w:rPr>
        <w:t>Floor/room: 6</w:t>
      </w:r>
      <w:r w:rsidRPr="00A3412A">
        <w:rPr>
          <w:b/>
          <w:sz w:val="22"/>
          <w:szCs w:val="22"/>
          <w:vertAlign w:val="superscript"/>
        </w:rPr>
        <w:t>st</w:t>
      </w:r>
      <w:r w:rsidRPr="00A3412A">
        <w:rPr>
          <w:b/>
          <w:sz w:val="22"/>
          <w:szCs w:val="22"/>
        </w:rPr>
        <w:t xml:space="preserve"> floor; room#618</w:t>
      </w:r>
    </w:p>
    <w:p w14:paraId="321AEAA6" w14:textId="77777777" w:rsidR="00617538" w:rsidRPr="00A3412A" w:rsidRDefault="00617538" w:rsidP="00617538">
      <w:pPr>
        <w:pStyle w:val="ListParagraph"/>
        <w:keepNext/>
        <w:ind w:left="357"/>
        <w:jc w:val="both"/>
        <w:rPr>
          <w:sz w:val="22"/>
          <w:szCs w:val="22"/>
        </w:rPr>
      </w:pPr>
      <w:r w:rsidRPr="00A3412A">
        <w:rPr>
          <w:sz w:val="22"/>
          <w:szCs w:val="22"/>
        </w:rPr>
        <w:t xml:space="preserve">Telephone: </w:t>
      </w:r>
      <w:r w:rsidRPr="00A3412A">
        <w:rPr>
          <w:b/>
          <w:sz w:val="22"/>
          <w:szCs w:val="22"/>
        </w:rPr>
        <w:t>(+374 11) 51-40-05 (ext. 5023); (+374 11) 51-50-07 (reception)</w:t>
      </w:r>
    </w:p>
    <w:p w14:paraId="4DA8AFB5" w14:textId="77777777" w:rsidR="00617538" w:rsidRPr="00B7187C" w:rsidRDefault="00617538" w:rsidP="00617538">
      <w:pPr>
        <w:rPr>
          <w:sz w:val="22"/>
          <w:szCs w:val="22"/>
        </w:rPr>
      </w:pPr>
      <w:r w:rsidRPr="00B7187C">
        <w:rPr>
          <w:color w:val="000000"/>
          <w:sz w:val="22"/>
          <w:szCs w:val="22"/>
        </w:rPr>
        <w:t xml:space="preserve">     </w:t>
      </w:r>
      <w:r w:rsidRPr="00B7187C">
        <w:rPr>
          <w:b/>
          <w:spacing w:val="-2"/>
          <w:sz w:val="22"/>
          <w:szCs w:val="22"/>
          <w:u w:val="single"/>
        </w:rPr>
        <w:t>*E-mail (for written application):</w:t>
      </w:r>
      <w:r w:rsidRPr="00B7187C">
        <w:rPr>
          <w:b/>
          <w:sz w:val="22"/>
          <w:szCs w:val="22"/>
        </w:rPr>
        <w:t xml:space="preserve"> </w:t>
      </w:r>
      <w:hyperlink r:id="rId8" w:history="1">
        <w:r w:rsidRPr="00B7187C">
          <w:rPr>
            <w:rStyle w:val="Hyperlink"/>
            <w:b/>
            <w:sz w:val="22"/>
            <w:szCs w:val="22"/>
          </w:rPr>
          <w:t>martin.charyan@yerevan.am</w:t>
        </w:r>
      </w:hyperlink>
      <w:r w:rsidRPr="00B7187C">
        <w:rPr>
          <w:sz w:val="22"/>
          <w:szCs w:val="22"/>
        </w:rPr>
        <w:t xml:space="preserve">      </w:t>
      </w:r>
    </w:p>
    <w:p w14:paraId="5B697E94" w14:textId="4AEA8A55" w:rsidR="00617538" w:rsidRPr="00B7187C" w:rsidRDefault="00617538" w:rsidP="00617538">
      <w:pPr>
        <w:rPr>
          <w:b/>
          <w:color w:val="0000FF"/>
          <w:sz w:val="22"/>
          <w:szCs w:val="22"/>
          <w:u w:val="single"/>
        </w:rPr>
      </w:pPr>
      <w:r w:rsidRPr="00B7187C">
        <w:rPr>
          <w:sz w:val="22"/>
          <w:szCs w:val="22"/>
        </w:rPr>
        <w:t xml:space="preserve">      Copies to:</w:t>
      </w:r>
      <w:r w:rsidRPr="00F563FB">
        <w:t xml:space="preserve"> </w:t>
      </w:r>
      <w:bookmarkStart w:id="12" w:name="_Hlk206064249"/>
      <w:r>
        <w:fldChar w:fldCharType="begin"/>
      </w:r>
      <w:r>
        <w:instrText>HYPERLINK "mailto:meri.hayrapetyan@yerevan.am"</w:instrText>
      </w:r>
      <w:r>
        <w:fldChar w:fldCharType="separate"/>
      </w:r>
      <w:r w:rsidRPr="00F563FB">
        <w:rPr>
          <w:rStyle w:val="Hyperlink"/>
          <w:b/>
          <w:sz w:val="22"/>
          <w:szCs w:val="22"/>
        </w:rPr>
        <w:t>meri.hayrapetyan@yerevan.am</w:t>
      </w:r>
      <w:r>
        <w:fldChar w:fldCharType="end"/>
      </w:r>
      <w:r>
        <w:rPr>
          <w:sz w:val="22"/>
          <w:szCs w:val="22"/>
        </w:rPr>
        <w:t>;</w:t>
      </w:r>
      <w:r w:rsidRPr="00F563FB">
        <w:rPr>
          <w:sz w:val="22"/>
          <w:szCs w:val="22"/>
        </w:rPr>
        <w:t xml:space="preserve"> </w:t>
      </w:r>
      <w:bookmarkEnd w:id="0"/>
      <w:r w:rsidR="000E2B19" w:rsidRPr="00DC66A6">
        <w:rPr>
          <w:b/>
          <w:bCs/>
          <w:sz w:val="22"/>
          <w:szCs w:val="22"/>
        </w:rPr>
        <w:fldChar w:fldCharType="begin"/>
      </w:r>
      <w:r w:rsidR="000E2B19" w:rsidRPr="00DC66A6">
        <w:rPr>
          <w:b/>
          <w:bCs/>
          <w:sz w:val="22"/>
          <w:szCs w:val="22"/>
        </w:rPr>
        <w:instrText>HYPERLINK "mailto:narek.melkumyan@yerevan.am"</w:instrText>
      </w:r>
      <w:r w:rsidR="000E2B19" w:rsidRPr="00DC66A6">
        <w:rPr>
          <w:b/>
          <w:bCs/>
          <w:sz w:val="22"/>
          <w:szCs w:val="22"/>
        </w:rPr>
      </w:r>
      <w:r w:rsidR="000E2B19" w:rsidRPr="00DC66A6">
        <w:rPr>
          <w:b/>
          <w:bCs/>
          <w:sz w:val="22"/>
          <w:szCs w:val="22"/>
        </w:rPr>
        <w:fldChar w:fldCharType="separate"/>
      </w:r>
      <w:r w:rsidR="000E2B19" w:rsidRPr="00DC66A6">
        <w:rPr>
          <w:rStyle w:val="Hyperlink"/>
          <w:b/>
          <w:bCs/>
          <w:sz w:val="22"/>
          <w:szCs w:val="22"/>
        </w:rPr>
        <w:t>narek.melkumyan@yerevan.am</w:t>
      </w:r>
      <w:r w:rsidR="000E2B19" w:rsidRPr="00DC66A6">
        <w:rPr>
          <w:b/>
          <w:bCs/>
          <w:sz w:val="22"/>
          <w:szCs w:val="22"/>
        </w:rPr>
        <w:fldChar w:fldCharType="end"/>
      </w:r>
      <w:bookmarkEnd w:id="12"/>
      <w:r w:rsidRPr="00B7187C">
        <w:rPr>
          <w:sz w:val="22"/>
          <w:szCs w:val="22"/>
        </w:rPr>
        <w:t xml:space="preserve"> </w:t>
      </w:r>
    </w:p>
    <w:p w14:paraId="6B9C4A4D" w14:textId="77777777" w:rsidR="00F12C76" w:rsidRDefault="00F12C76" w:rsidP="006C0B77">
      <w:pPr>
        <w:ind w:firstLine="709"/>
        <w:jc w:val="both"/>
      </w:pPr>
    </w:p>
    <w:sectPr w:rsidR="00F12C76" w:rsidSect="006C0B77">
      <w:footerReference w:type="default" r:id="rId9"/>
      <w:pgSz w:w="11906" w:h="16838" w:code="9"/>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64FF3D" w14:textId="77777777" w:rsidR="00E05BEB" w:rsidRDefault="00E05BEB" w:rsidP="00617538">
      <w:r>
        <w:separator/>
      </w:r>
    </w:p>
  </w:endnote>
  <w:endnote w:type="continuationSeparator" w:id="0">
    <w:p w14:paraId="3A6EF392" w14:textId="77777777" w:rsidR="00E05BEB" w:rsidRDefault="00E05BEB" w:rsidP="006175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G Times">
    <w:altName w:val="Times New Roman"/>
    <w:charset w:val="00"/>
    <w:family w:val="auto"/>
    <w:pitch w:val="default"/>
  </w:font>
  <w:font w:name="regular">
    <w:altName w:val="Times New Roman"/>
    <w:panose1 w:val="00000000000000000000"/>
    <w:charset w:val="00"/>
    <w:family w:val="roman"/>
    <w:notTrueType/>
    <w:pitch w:val="default"/>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15296376"/>
      <w:docPartObj>
        <w:docPartGallery w:val="Page Numbers (Bottom of Page)"/>
        <w:docPartUnique/>
      </w:docPartObj>
    </w:sdtPr>
    <w:sdtContent>
      <w:sdt>
        <w:sdtPr>
          <w:id w:val="-1769616900"/>
          <w:docPartObj>
            <w:docPartGallery w:val="Page Numbers (Top of Page)"/>
            <w:docPartUnique/>
          </w:docPartObj>
        </w:sdtPr>
        <w:sdtContent>
          <w:p w14:paraId="2A2674D4" w14:textId="277BD0C6" w:rsidR="00617538" w:rsidRDefault="00617538">
            <w:pPr>
              <w:pStyle w:val="Footer"/>
              <w:jc w:val="right"/>
            </w:pPr>
            <w:r>
              <w:t xml:space="preserve">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w:t>
            </w:r>
            <w:r>
              <w:rPr>
                <w:b/>
                <w:bCs/>
              </w:rPr>
              <w:fldChar w:fldCharType="end"/>
            </w:r>
          </w:p>
        </w:sdtContent>
      </w:sdt>
    </w:sdtContent>
  </w:sdt>
  <w:p w14:paraId="7D417203" w14:textId="77777777" w:rsidR="00617538" w:rsidRDefault="0061753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F09D39" w14:textId="77777777" w:rsidR="00E05BEB" w:rsidRDefault="00E05BEB" w:rsidP="00617538">
      <w:r>
        <w:separator/>
      </w:r>
    </w:p>
  </w:footnote>
  <w:footnote w:type="continuationSeparator" w:id="0">
    <w:p w14:paraId="2D23F89E" w14:textId="77777777" w:rsidR="00E05BEB" w:rsidRDefault="00E05BEB" w:rsidP="00617538">
      <w:r>
        <w:continuationSeparator/>
      </w:r>
    </w:p>
  </w:footnote>
  <w:footnote w:id="1">
    <w:p w14:paraId="48CA077E" w14:textId="08D2E9BF" w:rsidR="00617538" w:rsidRDefault="00617538" w:rsidP="00617538">
      <w:pPr>
        <w:pStyle w:val="FootnoteText"/>
      </w:pPr>
      <w:r>
        <w:rPr>
          <w:rStyle w:val="FootnoteReference"/>
        </w:rPr>
        <w:footnoteRef/>
      </w:r>
      <w:r>
        <w:t xml:space="preserve"> </w:t>
      </w:r>
      <w:r w:rsidR="00016B08" w:rsidRPr="008F3B6E">
        <w:rPr>
          <w:noProof/>
          <w:lang w:val="en-GB"/>
        </w:rPr>
        <w:t>The latest version of  EIB’s Guide to Procurement shall be used and can be downloaded at EIB website. The link to the currently valid version is:</w:t>
      </w:r>
      <w:r w:rsidR="00016B08" w:rsidRPr="008F3B6E">
        <w:rPr>
          <w:i/>
          <w:iCs/>
          <w:noProof/>
          <w:lang w:val="en-GB"/>
        </w:rPr>
        <w:t> </w:t>
      </w:r>
      <w:r w:rsidRPr="0053293C">
        <w:rPr>
          <w:b/>
          <w:color w:val="0000FF"/>
        </w:rPr>
        <w:t xml:space="preserve"> </w:t>
      </w:r>
      <w:bookmarkStart w:id="2" w:name="_Hlk197589467"/>
      <w:r>
        <w:fldChar w:fldCharType="begin"/>
      </w:r>
      <w:r>
        <w:instrText xml:space="preserve"> HYPERLINK "</w:instrText>
      </w:r>
      <w:r w:rsidRPr="003318B3">
        <w:instrText>https://www.eib.org/en/publications/20240132-guide-to-procurement-for-projects-financed-by-the-eib</w:instrText>
      </w:r>
      <w:r>
        <w:instrText xml:space="preserve">" </w:instrText>
      </w:r>
      <w:r>
        <w:fldChar w:fldCharType="separate"/>
      </w:r>
      <w:r w:rsidRPr="00DA5516">
        <w:rPr>
          <w:rStyle w:val="Hyperlink"/>
        </w:rPr>
        <w:t>https://www.eib.org/en/publications/20240132-guide-to-procurement-for-projects-financed-by-the-eib</w:t>
      </w:r>
      <w:r>
        <w:fldChar w:fldCharType="end"/>
      </w:r>
      <w:bookmarkEnd w:id="2"/>
      <w:r>
        <w:t xml:space="preserve"> </w:t>
      </w:r>
      <w:r w:rsidRPr="003F2A5D">
        <w:rPr>
          <w:szCs w:val="24"/>
        </w:rPr>
        <w:t xml:space="preserve"> </w:t>
      </w:r>
      <w:r>
        <w:rPr>
          <w:b/>
          <w:color w:val="0000FF"/>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A3711F"/>
    <w:multiLevelType w:val="hybridMultilevel"/>
    <w:tmpl w:val="CEA426A0"/>
    <w:lvl w:ilvl="0" w:tplc="365CDF56">
      <w:start w:val="1"/>
      <w:numFmt w:val="decimal"/>
      <w:lvlText w:val="%1."/>
      <w:lvlJc w:val="left"/>
      <w:pPr>
        <w:ind w:left="360" w:hanging="360"/>
      </w:pPr>
      <w:rPr>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2391450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2C7E"/>
    <w:rsid w:val="00016B08"/>
    <w:rsid w:val="000E2B19"/>
    <w:rsid w:val="000F52B4"/>
    <w:rsid w:val="00277889"/>
    <w:rsid w:val="002E187C"/>
    <w:rsid w:val="00363455"/>
    <w:rsid w:val="003D0A65"/>
    <w:rsid w:val="004B5D8C"/>
    <w:rsid w:val="00510AE3"/>
    <w:rsid w:val="00546925"/>
    <w:rsid w:val="00617538"/>
    <w:rsid w:val="00685C9E"/>
    <w:rsid w:val="006C0B77"/>
    <w:rsid w:val="0075051F"/>
    <w:rsid w:val="008242FF"/>
    <w:rsid w:val="00870751"/>
    <w:rsid w:val="008C7419"/>
    <w:rsid w:val="00901E00"/>
    <w:rsid w:val="009052F0"/>
    <w:rsid w:val="00922C48"/>
    <w:rsid w:val="009855EA"/>
    <w:rsid w:val="00990E91"/>
    <w:rsid w:val="00A92FA9"/>
    <w:rsid w:val="00AD67B6"/>
    <w:rsid w:val="00B04066"/>
    <w:rsid w:val="00B915B7"/>
    <w:rsid w:val="00C01F10"/>
    <w:rsid w:val="00C83015"/>
    <w:rsid w:val="00CD3497"/>
    <w:rsid w:val="00CE5B1E"/>
    <w:rsid w:val="00D05F3C"/>
    <w:rsid w:val="00D16BD8"/>
    <w:rsid w:val="00D50911"/>
    <w:rsid w:val="00D53A9E"/>
    <w:rsid w:val="00DA2C7E"/>
    <w:rsid w:val="00DD62C3"/>
    <w:rsid w:val="00E05BEB"/>
    <w:rsid w:val="00E06011"/>
    <w:rsid w:val="00EA59DF"/>
    <w:rsid w:val="00EE4070"/>
    <w:rsid w:val="00F12C76"/>
    <w:rsid w:val="00F352F2"/>
    <w:rsid w:val="00F61ADE"/>
    <w:rsid w:val="00F70888"/>
    <w:rsid w:val="00F70EF0"/>
    <w:rsid w:val="00FC238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7A336F"/>
  <w15:chartTrackingRefBased/>
  <w15:docId w15:val="{8A20966E-7030-438B-8B89-122DED17FE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hidden/>
    <w:qFormat/>
    <w:rsid w:val="00617538"/>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uiPriority w:val="9"/>
    <w:qFormat/>
    <w:rsid w:val="00DA2C7E"/>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DA2C7E"/>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DA2C7E"/>
    <w:pPr>
      <w:keepNext/>
      <w:keepLines/>
      <w:spacing w:before="160" w:after="80"/>
      <w:outlineLvl w:val="2"/>
    </w:pPr>
    <w:rPr>
      <w:rFonts w:asciiTheme="minorHAnsi" w:eastAsiaTheme="majorEastAsia" w:hAnsiTheme="minorHAnsi" w:cstheme="majorBidi"/>
      <w:color w:val="2E74B5" w:themeColor="accent1" w:themeShade="BF"/>
      <w:szCs w:val="28"/>
    </w:rPr>
  </w:style>
  <w:style w:type="paragraph" w:styleId="Heading4">
    <w:name w:val="heading 4"/>
    <w:basedOn w:val="Normal"/>
    <w:next w:val="Normal"/>
    <w:link w:val="Heading4Char"/>
    <w:uiPriority w:val="9"/>
    <w:semiHidden/>
    <w:unhideWhenUsed/>
    <w:qFormat/>
    <w:rsid w:val="00DA2C7E"/>
    <w:pPr>
      <w:keepNext/>
      <w:keepLines/>
      <w:spacing w:before="80" w:after="40"/>
      <w:outlineLvl w:val="3"/>
    </w:pPr>
    <w:rPr>
      <w:rFonts w:asciiTheme="minorHAnsi" w:eastAsiaTheme="majorEastAsia" w:hAnsiTheme="min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DA2C7E"/>
    <w:pPr>
      <w:keepNext/>
      <w:keepLines/>
      <w:spacing w:before="80" w:after="40"/>
      <w:outlineLvl w:val="4"/>
    </w:pPr>
    <w:rPr>
      <w:rFonts w:asciiTheme="minorHAnsi" w:eastAsiaTheme="majorEastAsia" w:hAnsiTheme="minorHAnsi" w:cstheme="majorBidi"/>
      <w:color w:val="2E74B5" w:themeColor="accent1" w:themeShade="BF"/>
    </w:rPr>
  </w:style>
  <w:style w:type="paragraph" w:styleId="Heading6">
    <w:name w:val="heading 6"/>
    <w:basedOn w:val="Normal"/>
    <w:next w:val="Normal"/>
    <w:link w:val="Heading6Char"/>
    <w:uiPriority w:val="9"/>
    <w:semiHidden/>
    <w:unhideWhenUsed/>
    <w:qFormat/>
    <w:rsid w:val="00DA2C7E"/>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DA2C7E"/>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DA2C7E"/>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DA2C7E"/>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A2C7E"/>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DA2C7E"/>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DA2C7E"/>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DA2C7E"/>
    <w:rPr>
      <w:rFonts w:eastAsiaTheme="majorEastAsia" w:cstheme="majorBidi"/>
      <w:i/>
      <w:iCs/>
      <w:color w:val="2E74B5" w:themeColor="accent1" w:themeShade="BF"/>
      <w:sz w:val="28"/>
    </w:rPr>
  </w:style>
  <w:style w:type="character" w:customStyle="1" w:styleId="Heading5Char">
    <w:name w:val="Heading 5 Char"/>
    <w:basedOn w:val="DefaultParagraphFont"/>
    <w:link w:val="Heading5"/>
    <w:uiPriority w:val="9"/>
    <w:semiHidden/>
    <w:rsid w:val="00DA2C7E"/>
    <w:rPr>
      <w:rFonts w:eastAsiaTheme="majorEastAsia" w:cstheme="majorBidi"/>
      <w:color w:val="2E74B5" w:themeColor="accent1" w:themeShade="BF"/>
      <w:sz w:val="28"/>
    </w:rPr>
  </w:style>
  <w:style w:type="character" w:customStyle="1" w:styleId="Heading6Char">
    <w:name w:val="Heading 6 Char"/>
    <w:basedOn w:val="DefaultParagraphFont"/>
    <w:link w:val="Heading6"/>
    <w:uiPriority w:val="9"/>
    <w:semiHidden/>
    <w:rsid w:val="00DA2C7E"/>
    <w:rPr>
      <w:rFonts w:eastAsiaTheme="majorEastAsia" w:cstheme="majorBidi"/>
      <w:i/>
      <w:iCs/>
      <w:color w:val="595959" w:themeColor="text1" w:themeTint="A6"/>
      <w:sz w:val="28"/>
    </w:rPr>
  </w:style>
  <w:style w:type="character" w:customStyle="1" w:styleId="Heading7Char">
    <w:name w:val="Heading 7 Char"/>
    <w:basedOn w:val="DefaultParagraphFont"/>
    <w:link w:val="Heading7"/>
    <w:uiPriority w:val="9"/>
    <w:semiHidden/>
    <w:rsid w:val="00DA2C7E"/>
    <w:rPr>
      <w:rFonts w:eastAsiaTheme="majorEastAsia" w:cstheme="majorBidi"/>
      <w:color w:val="595959" w:themeColor="text1" w:themeTint="A6"/>
      <w:sz w:val="28"/>
    </w:rPr>
  </w:style>
  <w:style w:type="character" w:customStyle="1" w:styleId="Heading8Char">
    <w:name w:val="Heading 8 Char"/>
    <w:basedOn w:val="DefaultParagraphFont"/>
    <w:link w:val="Heading8"/>
    <w:uiPriority w:val="9"/>
    <w:semiHidden/>
    <w:rsid w:val="00DA2C7E"/>
    <w:rPr>
      <w:rFonts w:eastAsiaTheme="majorEastAsia" w:cstheme="majorBidi"/>
      <w:i/>
      <w:iCs/>
      <w:color w:val="272727" w:themeColor="text1" w:themeTint="D8"/>
      <w:sz w:val="28"/>
    </w:rPr>
  </w:style>
  <w:style w:type="character" w:customStyle="1" w:styleId="Heading9Char">
    <w:name w:val="Heading 9 Char"/>
    <w:basedOn w:val="DefaultParagraphFont"/>
    <w:link w:val="Heading9"/>
    <w:uiPriority w:val="9"/>
    <w:semiHidden/>
    <w:rsid w:val="00DA2C7E"/>
    <w:rPr>
      <w:rFonts w:eastAsiaTheme="majorEastAsia" w:cstheme="majorBidi"/>
      <w:color w:val="272727" w:themeColor="text1" w:themeTint="D8"/>
      <w:sz w:val="28"/>
    </w:rPr>
  </w:style>
  <w:style w:type="paragraph" w:styleId="Title">
    <w:name w:val="Title"/>
    <w:basedOn w:val="Normal"/>
    <w:next w:val="Normal"/>
    <w:link w:val="TitleChar"/>
    <w:uiPriority w:val="10"/>
    <w:qFormat/>
    <w:rsid w:val="00DA2C7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A2C7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A2C7E"/>
    <w:pPr>
      <w:numPr>
        <w:ilvl w:val="1"/>
      </w:numPr>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DA2C7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A2C7E"/>
    <w:pPr>
      <w:spacing w:before="160"/>
      <w:jc w:val="center"/>
    </w:pPr>
    <w:rPr>
      <w:i/>
      <w:iCs/>
      <w:color w:val="404040" w:themeColor="text1" w:themeTint="BF"/>
    </w:rPr>
  </w:style>
  <w:style w:type="character" w:customStyle="1" w:styleId="QuoteChar">
    <w:name w:val="Quote Char"/>
    <w:basedOn w:val="DefaultParagraphFont"/>
    <w:link w:val="Quote"/>
    <w:uiPriority w:val="29"/>
    <w:rsid w:val="00DA2C7E"/>
    <w:rPr>
      <w:rFonts w:ascii="Times New Roman" w:hAnsi="Times New Roman"/>
      <w:i/>
      <w:iCs/>
      <w:color w:val="404040" w:themeColor="text1" w:themeTint="BF"/>
      <w:sz w:val="28"/>
    </w:rPr>
  </w:style>
  <w:style w:type="paragraph" w:styleId="ListParagraph">
    <w:name w:val="List Paragraph"/>
    <w:aliases w:val="Citation List,본문(내용),List Paragraph (numbered (a)),Para number,Titulo 2,Report Para,Number Bullets,Resume Title,heading 4,WinDForce-Letter,Heading 2_sj,En tête 1,Indent Paragraph,Annexlist,Ha,ANNEX,List Paragraph2,Paragraph,Graphic,Bullet"/>
    <w:basedOn w:val="Normal"/>
    <w:link w:val="ListParagraphChar"/>
    <w:uiPriority w:val="34"/>
    <w:qFormat/>
    <w:rsid w:val="00DA2C7E"/>
    <w:pPr>
      <w:ind w:left="720"/>
      <w:contextualSpacing/>
    </w:pPr>
  </w:style>
  <w:style w:type="character" w:styleId="IntenseEmphasis">
    <w:name w:val="Intense Emphasis"/>
    <w:basedOn w:val="DefaultParagraphFont"/>
    <w:uiPriority w:val="21"/>
    <w:qFormat/>
    <w:rsid w:val="00DA2C7E"/>
    <w:rPr>
      <w:i/>
      <w:iCs/>
      <w:color w:val="2E74B5" w:themeColor="accent1" w:themeShade="BF"/>
    </w:rPr>
  </w:style>
  <w:style w:type="paragraph" w:styleId="IntenseQuote">
    <w:name w:val="Intense Quote"/>
    <w:basedOn w:val="Normal"/>
    <w:next w:val="Normal"/>
    <w:link w:val="IntenseQuoteChar"/>
    <w:uiPriority w:val="30"/>
    <w:qFormat/>
    <w:rsid w:val="00DA2C7E"/>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DA2C7E"/>
    <w:rPr>
      <w:rFonts w:ascii="Times New Roman" w:hAnsi="Times New Roman"/>
      <w:i/>
      <w:iCs/>
      <w:color w:val="2E74B5" w:themeColor="accent1" w:themeShade="BF"/>
      <w:sz w:val="28"/>
    </w:rPr>
  </w:style>
  <w:style w:type="character" w:styleId="IntenseReference">
    <w:name w:val="Intense Reference"/>
    <w:basedOn w:val="DefaultParagraphFont"/>
    <w:uiPriority w:val="32"/>
    <w:qFormat/>
    <w:rsid w:val="00DA2C7E"/>
    <w:rPr>
      <w:b/>
      <w:bCs/>
      <w:smallCaps/>
      <w:color w:val="2E74B5" w:themeColor="accent1" w:themeShade="BF"/>
      <w:spacing w:val="5"/>
    </w:rPr>
  </w:style>
  <w:style w:type="paragraph" w:styleId="Header">
    <w:name w:val="header"/>
    <w:basedOn w:val="Normal"/>
    <w:link w:val="HeaderChar"/>
    <w:uiPriority w:val="99"/>
    <w:rsid w:val="00617538"/>
    <w:pPr>
      <w:pBdr>
        <w:bottom w:val="single" w:sz="4" w:space="1" w:color="000000"/>
      </w:pBdr>
      <w:tabs>
        <w:tab w:val="right" w:pos="9000"/>
      </w:tabs>
      <w:jc w:val="both"/>
    </w:pPr>
    <w:rPr>
      <w:rFonts w:ascii="Arial" w:hAnsi="Arial"/>
      <w:sz w:val="20"/>
      <w:szCs w:val="20"/>
      <w:lang w:val="x-none" w:eastAsia="x-none"/>
    </w:rPr>
  </w:style>
  <w:style w:type="character" w:customStyle="1" w:styleId="HeaderChar">
    <w:name w:val="Header Char"/>
    <w:basedOn w:val="DefaultParagraphFont"/>
    <w:link w:val="Header"/>
    <w:uiPriority w:val="99"/>
    <w:rsid w:val="00617538"/>
    <w:rPr>
      <w:rFonts w:ascii="Arial" w:eastAsia="Times New Roman" w:hAnsi="Arial" w:cs="Times New Roman"/>
      <w:sz w:val="20"/>
      <w:szCs w:val="20"/>
      <w:lang w:val="x-none" w:eastAsia="x-none"/>
    </w:rPr>
  </w:style>
  <w:style w:type="paragraph" w:styleId="CommentText">
    <w:name w:val="annotation text"/>
    <w:aliases w:val="Char1"/>
    <w:basedOn w:val="Normal"/>
    <w:link w:val="CommentTextChar"/>
    <w:uiPriority w:val="99"/>
    <w:rsid w:val="00617538"/>
    <w:rPr>
      <w:rFonts w:ascii="Arial" w:hAnsi="Arial"/>
      <w:sz w:val="20"/>
      <w:szCs w:val="20"/>
      <w:lang w:val="x-none" w:eastAsia="x-none"/>
    </w:rPr>
  </w:style>
  <w:style w:type="character" w:customStyle="1" w:styleId="CommentTextChar">
    <w:name w:val="Comment Text Char"/>
    <w:aliases w:val="Char1 Char"/>
    <w:basedOn w:val="DefaultParagraphFont"/>
    <w:link w:val="CommentText"/>
    <w:uiPriority w:val="99"/>
    <w:rsid w:val="00617538"/>
    <w:rPr>
      <w:rFonts w:ascii="Arial" w:eastAsia="Times New Roman" w:hAnsi="Arial" w:cs="Times New Roman"/>
      <w:sz w:val="20"/>
      <w:szCs w:val="20"/>
      <w:lang w:val="x-none" w:eastAsia="x-none"/>
    </w:rPr>
  </w:style>
  <w:style w:type="character" w:styleId="Hyperlink">
    <w:name w:val="Hyperlink"/>
    <w:rsid w:val="00617538"/>
    <w:rPr>
      <w:color w:val="0000FF"/>
      <w:u w:val="single"/>
    </w:rPr>
  </w:style>
  <w:style w:type="character" w:styleId="FootnoteReference">
    <w:name w:val="footnote reference"/>
    <w:uiPriority w:val="99"/>
    <w:rsid w:val="00617538"/>
    <w:rPr>
      <w:vertAlign w:val="superscript"/>
    </w:rPr>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ADB"/>
    <w:basedOn w:val="Normal"/>
    <w:link w:val="FootnoteTextChar"/>
    <w:uiPriority w:val="99"/>
    <w:qFormat/>
    <w:rsid w:val="00617538"/>
    <w:pPr>
      <w:tabs>
        <w:tab w:val="left" w:pos="360"/>
      </w:tabs>
      <w:suppressAutoHyphens/>
      <w:overflowPunct w:val="0"/>
      <w:autoSpaceDE w:val="0"/>
      <w:autoSpaceDN w:val="0"/>
      <w:adjustRightInd w:val="0"/>
      <w:ind w:left="360" w:hanging="360"/>
      <w:textAlignment w:val="baseline"/>
    </w:pPr>
    <w:rPr>
      <w:sz w:val="20"/>
      <w:szCs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basedOn w:val="DefaultParagraphFont"/>
    <w:link w:val="FootnoteText"/>
    <w:uiPriority w:val="99"/>
    <w:rsid w:val="00617538"/>
    <w:rPr>
      <w:rFonts w:ascii="Times New Roman" w:eastAsia="Times New Roman" w:hAnsi="Times New Roman" w:cs="Times New Roman"/>
      <w:sz w:val="20"/>
      <w:szCs w:val="20"/>
      <w:lang w:val="en-US"/>
    </w:rPr>
  </w:style>
  <w:style w:type="character" w:customStyle="1" w:styleId="StyleHeader2-SubClausesItalicChar">
    <w:name w:val="Style Header 2 - SubClauses + Italic Char"/>
    <w:rsid w:val="00617538"/>
    <w:rPr>
      <w:rFonts w:cs="Arial"/>
      <w:i/>
      <w:iCs/>
      <w:sz w:val="24"/>
      <w:szCs w:val="24"/>
      <w:lang w:val="en-US" w:eastAsia="en-US" w:bidi="ar-SA"/>
    </w:rPr>
  </w:style>
  <w:style w:type="character" w:styleId="CommentReference">
    <w:name w:val="annotation reference"/>
    <w:uiPriority w:val="99"/>
    <w:rsid w:val="00617538"/>
    <w:rPr>
      <w:sz w:val="16"/>
      <w:szCs w:val="16"/>
    </w:rPr>
  </w:style>
  <w:style w:type="paragraph" w:customStyle="1" w:styleId="Style11">
    <w:name w:val="Style 11"/>
    <w:basedOn w:val="Normal"/>
    <w:rsid w:val="00617538"/>
    <w:pPr>
      <w:widowControl w:val="0"/>
      <w:autoSpaceDE w:val="0"/>
      <w:autoSpaceDN w:val="0"/>
      <w:spacing w:line="384" w:lineRule="atLeast"/>
    </w:pPr>
  </w:style>
  <w:style w:type="paragraph" w:customStyle="1" w:styleId="ChapterNumber">
    <w:name w:val="ChapterNumber"/>
    <w:rsid w:val="00617538"/>
    <w:pPr>
      <w:tabs>
        <w:tab w:val="left" w:pos="-720"/>
      </w:tabs>
      <w:suppressAutoHyphens/>
      <w:spacing w:after="0" w:line="240" w:lineRule="auto"/>
    </w:pPr>
    <w:rPr>
      <w:rFonts w:ascii="CG Times" w:eastAsia="Times New Roman" w:hAnsi="CG Times" w:cs="Times New Roman"/>
      <w:szCs w:val="20"/>
      <w:lang w:val="en-US"/>
    </w:rPr>
  </w:style>
  <w:style w:type="paragraph" w:customStyle="1" w:styleId="Heading1a">
    <w:name w:val="Heading 1a"/>
    <w:rsid w:val="00617538"/>
    <w:pPr>
      <w:keepNext/>
      <w:keepLines/>
      <w:tabs>
        <w:tab w:val="left" w:pos="-720"/>
      </w:tabs>
      <w:suppressAutoHyphens/>
      <w:spacing w:after="0" w:line="240" w:lineRule="auto"/>
      <w:jc w:val="center"/>
    </w:pPr>
    <w:rPr>
      <w:rFonts w:ascii="Times New Roman" w:eastAsia="Times New Roman" w:hAnsi="Times New Roman" w:cs="Times New Roman"/>
      <w:b/>
      <w:smallCaps/>
      <w:sz w:val="32"/>
      <w:szCs w:val="20"/>
      <w:lang w:val="en-US"/>
    </w:rPr>
  </w:style>
  <w:style w:type="character" w:customStyle="1" w:styleId="ListParagraphChar">
    <w:name w:val="List Paragraph Char"/>
    <w:aliases w:val="Citation List Char,본문(내용) Char,List Paragraph (numbered (a)) Char,Para number Char,Titulo 2 Char,Report Para Char,Number Bullets Char,Resume Title Char,heading 4 Char,WinDForce-Letter Char,Heading 2_sj Char,En tête 1 Char,Ha Char"/>
    <w:link w:val="ListParagraph"/>
    <w:uiPriority w:val="34"/>
    <w:rsid w:val="00617538"/>
    <w:rPr>
      <w:rFonts w:ascii="Times New Roman" w:hAnsi="Times New Roman"/>
      <w:sz w:val="28"/>
    </w:rPr>
  </w:style>
  <w:style w:type="paragraph" w:styleId="Footer">
    <w:name w:val="footer"/>
    <w:basedOn w:val="Normal"/>
    <w:link w:val="FooterChar"/>
    <w:uiPriority w:val="99"/>
    <w:unhideWhenUsed/>
    <w:rsid w:val="00617538"/>
    <w:pPr>
      <w:tabs>
        <w:tab w:val="center" w:pos="4844"/>
        <w:tab w:val="right" w:pos="9689"/>
      </w:tabs>
    </w:pPr>
  </w:style>
  <w:style w:type="character" w:customStyle="1" w:styleId="FooterChar">
    <w:name w:val="Footer Char"/>
    <w:basedOn w:val="DefaultParagraphFont"/>
    <w:link w:val="Footer"/>
    <w:uiPriority w:val="99"/>
    <w:rsid w:val="00617538"/>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rtin.charyan@yerevan.am" TargetMode="External"/><Relationship Id="rId3" Type="http://schemas.openxmlformats.org/officeDocument/2006/relationships/settings" Target="settings.xml"/><Relationship Id="rId7" Type="http://schemas.openxmlformats.org/officeDocument/2006/relationships/hyperlink" Target="mailto:martin.charyan@yerevan.a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60</TotalTime>
  <Pages>4</Pages>
  <Words>1874</Words>
  <Characters>10686</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Martin Charyan</cp:lastModifiedBy>
  <cp:revision>15</cp:revision>
  <dcterms:created xsi:type="dcterms:W3CDTF">2025-07-07T05:20:00Z</dcterms:created>
  <dcterms:modified xsi:type="dcterms:W3CDTF">2025-09-17T11:08:00Z</dcterms:modified>
</cp:coreProperties>
</file>